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olo 3"/>
      </w:pPr>
      <w:r>
        <w:rPr>
          <w:rStyle w:val="Nessuno"/>
          <w:sz w:val="22"/>
          <w:szCs w:val="22"/>
          <w:rtl w:val="0"/>
          <w:lang w:val="it-IT"/>
        </w:rPr>
        <w:t>Prof.</w:t>
        <w:tab/>
      </w:r>
      <w:r>
        <w:rPr>
          <w:rStyle w:val="Nessuno"/>
          <w:b w:val="1"/>
          <w:bCs w:val="1"/>
          <w:sz w:val="22"/>
          <w:szCs w:val="22"/>
          <w:rtl w:val="0"/>
          <w:lang w:val="it-IT"/>
        </w:rPr>
        <w:t>DI TURI CARLO</w:t>
      </w:r>
      <w:bookmarkStart w:name="Testo1" w:id="0"/>
      <w:bookmarkEnd w:id="0"/>
      <w:r>
        <w:rPr>
          <w:rStyle w:val="Nessuno"/>
          <w:b w:val="1"/>
          <w:bCs w:val="1"/>
          <w:sz w:val="22"/>
          <w:szCs w:val="22"/>
        </w:rPr>
        <w:tab/>
      </w:r>
      <w:r>
        <w:rPr>
          <w:rStyle w:val="Nessuno"/>
          <w:b w:val="1"/>
          <w:bCs w:val="1"/>
          <w:sz w:val="22"/>
          <w:szCs w:val="22"/>
        </w:rPr>
        <w:tab/>
      </w:r>
      <w:r>
        <w:rPr>
          <w:rStyle w:val="Nessuno"/>
          <w:sz w:val="22"/>
          <w:szCs w:val="22"/>
          <w:rtl w:val="0"/>
          <w:lang w:val="it-IT"/>
        </w:rPr>
        <w:t>Materia</w:t>
      </w:r>
      <w:r>
        <w:rPr>
          <w:rStyle w:val="Nessuno"/>
          <w:b w:val="1"/>
          <w:bCs w:val="1"/>
          <w:sz w:val="22"/>
          <w:szCs w:val="22"/>
          <w:rtl w:val="0"/>
          <w:lang w:val="it-IT"/>
        </w:rPr>
        <w:t xml:space="preserve"> LABORATORIO MUSICA DI INSIEME - CHITARRE</w:t>
      </w:r>
      <w:r>
        <w:rPr>
          <w:rStyle w:val="Nessuno"/>
          <w:b w:val="1"/>
          <w:bCs w:val="1"/>
          <w:sz w:val="22"/>
          <w:szCs w:val="22"/>
        </w:rPr>
        <w:tab/>
      </w:r>
      <w:r>
        <w:tab/>
        <w:tab/>
        <w:tab/>
        <w:tab/>
      </w:r>
    </w:p>
    <w:p>
      <w:pPr>
        <w:pStyle w:val="Normale"/>
      </w:pPr>
    </w:p>
    <w:p>
      <w:pPr>
        <w:pStyle w:val="Normale"/>
      </w:pPr>
      <w:r>
        <w:rPr>
          <w:rtl w:val="0"/>
        </w:rPr>
        <w:t>In relazione alla programmazione curricolare sono stati conseguiti i seguenti obiettivi in termini di:</w:t>
      </w:r>
    </w:p>
    <w:p>
      <w:pPr>
        <w:pStyle w:val="Normale"/>
      </w:pPr>
    </w:p>
    <w:p>
      <w:pPr>
        <w:pStyle w:val="Normale"/>
        <w:rPr>
          <w:rStyle w:val="Nessuno"/>
          <w:b w:val="1"/>
          <w:bCs w:val="1"/>
        </w:rPr>
      </w:pPr>
      <w:r>
        <w:rPr>
          <w:rStyle w:val="Nessuno"/>
          <w:b w:val="1"/>
          <w:bCs w:val="1"/>
          <w:rtl w:val="0"/>
          <w:lang w:val="it-IT"/>
        </w:rPr>
        <w:t>CONOSCENZE</w:t>
      </w:r>
    </w:p>
    <w:p>
      <w:pPr>
        <w:pStyle w:val="Normale"/>
      </w:pPr>
      <w:r>
        <w:rPr>
          <w:rStyle w:val="Nessuno"/>
          <w:rtl w:val="0"/>
          <w:lang w:val="it-IT"/>
        </w:rPr>
        <w:t>Nell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acquisizione dei contenuti disciplinari, e specificatamente nell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acquisizione di concetti, argomenti, procedure, linguaggi specifici, le conoscenze della classe risultano buone per alcuni, ottime per altri.</w:t>
      </w:r>
    </w:p>
    <w:p>
      <w:pPr>
        <w:pStyle w:val="Normale"/>
      </w:pPr>
    </w:p>
    <w:p>
      <w:pPr>
        <w:pStyle w:val="Normale"/>
      </w:pPr>
    </w:p>
    <w:p>
      <w:pPr>
        <w:pStyle w:val="Normale"/>
        <w:rPr>
          <w:rStyle w:val="Nessuno"/>
          <w:b w:val="1"/>
          <w:bCs w:val="1"/>
        </w:rPr>
      </w:pPr>
      <w:r>
        <w:rPr>
          <w:rStyle w:val="Nessuno"/>
          <w:b w:val="1"/>
          <w:bCs w:val="1"/>
          <w:rtl w:val="0"/>
          <w:lang w:val="it-IT"/>
        </w:rPr>
        <w:t>COMPETENZE</w:t>
      </w:r>
    </w:p>
    <w:p>
      <w:pPr>
        <w:pStyle w:val="Normale"/>
      </w:pPr>
      <w:r>
        <w:rPr>
          <w:rStyle w:val="Nessuno"/>
          <w:rtl w:val="0"/>
          <w:lang w:val="it-IT"/>
        </w:rPr>
        <w:t>Nell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applicazione delle conoscenze acquisite la classe ha ottenuto un livello ottimo</w:t>
      </w:r>
    </w:p>
    <w:p>
      <w:pPr>
        <w:pStyle w:val="Normale"/>
      </w:pPr>
    </w:p>
    <w:p>
      <w:pPr>
        <w:pStyle w:val="Normale"/>
      </w:pPr>
    </w:p>
    <w:p>
      <w:pPr>
        <w:pStyle w:val="Normale"/>
        <w:rPr>
          <w:rStyle w:val="Nessuno"/>
          <w:b w:val="1"/>
          <w:bCs w:val="1"/>
        </w:rPr>
      </w:pPr>
      <w:r>
        <w:rPr>
          <w:rStyle w:val="Nessuno"/>
          <w:b w:val="1"/>
          <w:bCs w:val="1"/>
          <w:rtl w:val="0"/>
          <w:lang w:val="it-IT"/>
        </w:rPr>
        <w:t>CAPACIT</w:t>
      </w:r>
      <w:r>
        <w:rPr>
          <w:rStyle w:val="Nessuno"/>
          <w:b w:val="1"/>
          <w:bCs w:val="1"/>
          <w:rtl w:val="0"/>
          <w:lang w:val="it-IT"/>
        </w:rPr>
        <w:t>À</w:t>
      </w:r>
    </w:p>
    <w:p>
      <w:pPr>
        <w:pStyle w:val="Normale"/>
      </w:pPr>
      <w:r>
        <w:rPr>
          <w:rStyle w:val="Nessuno"/>
          <w:rtl w:val="0"/>
          <w:lang w:val="it-IT"/>
        </w:rPr>
        <w:t>Nella capacit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di analisi, si sintesi, di rielaborazione critica delle conoscenze acquisite, nell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applicazione delle stesse la classe ha raggiunto un livello ottimo.</w:t>
      </w:r>
    </w:p>
    <w:p>
      <w:pPr>
        <w:pStyle w:val="Normale"/>
      </w:pPr>
    </w:p>
    <w:p>
      <w:pPr>
        <w:pStyle w:val="Normale"/>
      </w:pPr>
    </w:p>
    <w:p>
      <w:pPr>
        <w:pStyle w:val="Normale"/>
        <w:rPr>
          <w:rStyle w:val="Nessuno"/>
          <w:b w:val="1"/>
          <w:bCs w:val="1"/>
        </w:rPr>
      </w:pPr>
      <w:r>
        <w:rPr>
          <w:rStyle w:val="Nessuno"/>
          <w:b w:val="1"/>
          <w:bCs w:val="1"/>
          <w:rtl w:val="0"/>
          <w:lang w:val="it-IT"/>
        </w:rPr>
        <w:t xml:space="preserve">METODOLOGIE </w:t>
      </w:r>
    </w:p>
    <w:p>
      <w:pPr>
        <w:pStyle w:val="Normale"/>
        <w:rPr>
          <w:rStyle w:val="Nessuno"/>
        </w:rPr>
      </w:pPr>
      <w:r>
        <w:rPr>
          <w:rStyle w:val="Nessuno"/>
          <w:rtl w:val="0"/>
          <w:lang w:val="it-IT"/>
        </w:rPr>
        <w:t>Gli obiettivi sono stati perseguiti attraverso attivit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mirate per il tipo di formazione cameristica. Le abilit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raggiunte sono state utilizzate al fine di potenziare la gestione dello strumento dal punto di vista espressivo, comunicativo di insieme, consolidando tali aspetti in riferimento alle conoscenze acquisite nell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ambito della teoria e analisi musicale. Il percorso </w:t>
      </w:r>
      <w:r>
        <w:rPr>
          <w:rStyle w:val="Nessuno"/>
          <w:rtl w:val="0"/>
          <w:lang w:val="it-IT"/>
        </w:rPr>
        <w:t xml:space="preserve">è </w:t>
      </w:r>
      <w:r>
        <w:rPr>
          <w:rStyle w:val="Nessuno"/>
          <w:rtl w:val="0"/>
          <w:lang w:val="it-IT"/>
        </w:rPr>
        <w:t>stato costruito tenendo conto delle caratteristiche, potenzialit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e dei tempi di apprendimento dei singoli componenti del gruppo e della loro capacit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 xml:space="preserve">di interagire. A tale proposito, il lavoro si </w:t>
      </w:r>
      <w:r>
        <w:rPr>
          <w:rStyle w:val="Nessuno"/>
          <w:rtl w:val="0"/>
          <w:lang w:val="it-IT"/>
        </w:rPr>
        <w:t xml:space="preserve">è </w:t>
      </w:r>
      <w:r>
        <w:rPr>
          <w:rStyle w:val="Nessuno"/>
          <w:rtl w:val="0"/>
          <w:lang w:val="it-IT"/>
        </w:rPr>
        <w:t>focalizzato su lettura e concertazione di parti consistenti del programma, conferendo ad ogni singolo allievo la possibilit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di offrire soluzioni personali sempre nel rispetto della partitura. Le ore settimanali di lezione sono state declinate diversamente a seconda del repertorio affrontato e del grado di preparazione dei brani.</w:t>
      </w:r>
    </w:p>
    <w:p>
      <w:pPr>
        <w:pStyle w:val="Normale"/>
      </w:pPr>
      <w:r>
        <w:rPr>
          <w:rStyle w:val="Nessuno"/>
          <w:rtl w:val="0"/>
          <w:lang w:val="it-IT"/>
        </w:rPr>
        <w:t>Una scansione temporale dei diversi moduli non pu</w:t>
      </w:r>
      <w:r>
        <w:rPr>
          <w:rStyle w:val="Nessuno"/>
          <w:rtl w:val="0"/>
          <w:lang w:val="it-IT"/>
        </w:rPr>
        <w:t xml:space="preserve">ò </w:t>
      </w:r>
      <w:r>
        <w:rPr>
          <w:rStyle w:val="Nessuno"/>
          <w:rtl w:val="0"/>
          <w:lang w:val="it-IT"/>
        </w:rPr>
        <w:t>essere adottata per la specifica disciplina.</w:t>
      </w:r>
    </w:p>
    <w:p>
      <w:pPr>
        <w:pStyle w:val="Normale"/>
      </w:pPr>
    </w:p>
    <w:p>
      <w:pPr>
        <w:pStyle w:val="Normale"/>
      </w:pPr>
    </w:p>
    <w:p>
      <w:pPr>
        <w:pStyle w:val="Normale"/>
        <w:rPr>
          <w:rStyle w:val="Nessuno"/>
          <w:b w:val="1"/>
          <w:bCs w:val="1"/>
        </w:rPr>
      </w:pPr>
      <w:r>
        <w:rPr>
          <w:rStyle w:val="Nessuno"/>
          <w:b w:val="1"/>
          <w:bCs w:val="1"/>
          <w:rtl w:val="0"/>
          <w:lang w:val="it-IT"/>
        </w:rPr>
        <w:t xml:space="preserve">MATERIALI DIDATTICI </w:t>
      </w:r>
    </w:p>
    <w:p>
      <w:pPr>
        <w:pStyle w:val="Normale"/>
      </w:pPr>
      <w:r>
        <w:rPr>
          <w:rStyle w:val="Nessuno"/>
          <w:rtl w:val="0"/>
          <w:lang w:val="it-IT"/>
        </w:rPr>
        <w:t>Sono stati adottati i sussidi indicati nella programmazione personale del docente attraverso la predisposizione di materiale elaborato direttamente dal docente. Riproduttori audio/video, iPad e contenuti multimediali offerti dalla rete.</w:t>
      </w:r>
    </w:p>
    <w:p>
      <w:pPr>
        <w:pStyle w:val="Normale"/>
      </w:pPr>
    </w:p>
    <w:p>
      <w:pPr>
        <w:pStyle w:val="Normale"/>
      </w:pPr>
    </w:p>
    <w:p>
      <w:pPr>
        <w:pStyle w:val="Normale"/>
        <w:rPr>
          <w:rStyle w:val="Nessuno"/>
          <w:b w:val="1"/>
          <w:bCs w:val="1"/>
        </w:rPr>
      </w:pPr>
      <w:r>
        <w:rPr>
          <w:rStyle w:val="Nessuno"/>
          <w:b w:val="1"/>
          <w:bCs w:val="1"/>
          <w:rtl w:val="0"/>
          <w:lang w:val="it-IT"/>
        </w:rPr>
        <w:t xml:space="preserve">SPAZI </w:t>
      </w:r>
    </w:p>
    <w:p>
      <w:pPr>
        <w:pStyle w:val="Normale"/>
      </w:pPr>
      <w:r>
        <w:rPr>
          <w:rtl w:val="0"/>
        </w:rPr>
        <w:t xml:space="preserve">Il percorso formativo si </w:t>
      </w:r>
      <w:r>
        <w:rPr>
          <w:rtl w:val="0"/>
        </w:rPr>
        <w:t xml:space="preserve">è </w:t>
      </w:r>
      <w:r>
        <w:rPr>
          <w:rtl w:val="0"/>
        </w:rPr>
        <w:t>svolto attraverso lezioni collettive mediante verifiche di insieme e a parti reali utilizzando in prevalenza l</w:t>
      </w:r>
      <w:r>
        <w:rPr>
          <w:rtl w:val="0"/>
        </w:rPr>
        <w:t>’</w:t>
      </w:r>
      <w:r>
        <w:rPr>
          <w:rtl w:val="0"/>
        </w:rPr>
        <w:t>aula assegnata. In occasione di eventi specifici sono state utilizzate aree esterne al Liceo.</w:t>
      </w:r>
    </w:p>
    <w:p>
      <w:pPr>
        <w:pStyle w:val="Normale"/>
      </w:pPr>
    </w:p>
    <w:p>
      <w:pPr>
        <w:pStyle w:val="Normale"/>
      </w:pPr>
    </w:p>
    <w:p>
      <w:pPr>
        <w:pStyle w:val="Normale"/>
        <w:rPr>
          <w:rStyle w:val="Nessuno"/>
          <w:b w:val="1"/>
          <w:bCs w:val="1"/>
        </w:rPr>
      </w:pPr>
      <w:r>
        <w:rPr>
          <w:rStyle w:val="Nessuno"/>
          <w:b w:val="1"/>
          <w:bCs w:val="1"/>
          <w:rtl w:val="0"/>
          <w:lang w:val="it-IT"/>
        </w:rPr>
        <w:t xml:space="preserve">CRITERI E STRUMENTI DI VALUTAZIONE ADOTTATI </w:t>
      </w:r>
    </w:p>
    <w:p>
      <w:pPr>
        <w:pStyle w:val="Normale"/>
      </w:pPr>
      <w:r>
        <w:rPr>
          <w:rtl w:val="0"/>
          <w:lang w:val="it-IT"/>
        </w:rPr>
        <w:t>Durante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inizio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anno scolastico le lezioni sono state finalizzate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osservazione e consolidamento delle competenze acquisite in precedenza e alla specifica programmazione. La natura pratica della disciplina e la conseguente natura performativa della lezione laboratoriale, considerata come prestazione di competenze, esige che il docente calibri i piani di studio sulla tipologia del gruppo e sui singoli componenti in ogni setting di apprendimento osservando i diversi gradi di sviluppo della competenza (valutazione intrinseca al processo di insegnamento). Ogni singolo allievo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stato osservato progressivamente, tenendo conto della situazione di partenza, della maturazione e dei reali progressi, osservando essenzialmente le competenze tecniche, espressive e stilistiche in relazione al materiale sottoposto, nonch</w:t>
      </w:r>
      <w:r>
        <w:rPr>
          <w:rtl w:val="0"/>
          <w:lang w:val="it-IT"/>
        </w:rPr>
        <w:t xml:space="preserve">é </w:t>
      </w:r>
      <w:r>
        <w:rPr>
          <w:rtl w:val="0"/>
          <w:lang w:val="it-IT"/>
        </w:rPr>
        <w:t>la loro declinazione in un contesto collaborativo, mirato a concertazione e performance collettiva.</w:t>
      </w:r>
    </w:p>
    <w:p>
      <w:pPr>
        <w:pStyle w:val="Normale"/>
      </w:pPr>
    </w:p>
    <w:p>
      <w:pPr>
        <w:pStyle w:val="Normale"/>
      </w:pPr>
    </w:p>
    <w:p>
      <w:pPr>
        <w:pStyle w:val="Normale"/>
        <w:rPr>
          <w:rStyle w:val="Nessuno"/>
          <w:b w:val="1"/>
          <w:bCs w:val="1"/>
        </w:rPr>
      </w:pPr>
      <w:r>
        <w:rPr>
          <w:rStyle w:val="Nessuno"/>
          <w:b w:val="1"/>
          <w:bCs w:val="1"/>
          <w:rtl w:val="0"/>
          <w:lang w:val="it-IT"/>
        </w:rPr>
        <w:t>CONTENUTI DISCIPLINARI DETTAGLIATI</w:t>
      </w:r>
    </w:p>
    <w:p>
      <w:pPr>
        <w:pStyle w:val="Normale"/>
      </w:pPr>
    </w:p>
    <w:tbl>
      <w:tblPr>
        <w:tblW w:w="9839" w:type="dxa"/>
        <w:jc w:val="left"/>
        <w:tblInd w:w="108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000000"/>
        <w:tblLayout w:type="fixed"/>
      </w:tblPr>
      <w:tblGrid>
        <w:gridCol w:w="786"/>
        <w:gridCol w:w="2658"/>
        <w:gridCol w:w="3935"/>
        <w:gridCol w:w="2460"/>
      </w:tblGrid>
      <w:tr>
        <w:tblPrEx>
          <w:shd w:val="clear" w:color="auto" w:fill="auto"/>
        </w:tblPrEx>
        <w:trPr>
          <w:trHeight w:val="501" w:hRule="atLeast"/>
          <w:tblHeader/>
        </w:trPr>
        <w:tc>
          <w:tcPr>
            <w:tcW w:type="dxa" w:w="78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N.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Titolo del modulo, unit</w:t>
            </w:r>
            <w:r>
              <w:rPr>
                <w:rFonts w:ascii="Cambria" w:cs="Cambria" w:hAnsi="Cambria" w:eastAsia="Cambria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 xml:space="preserve">à </w:t>
            </w:r>
            <w:r>
              <w:rPr>
                <w:rFonts w:ascii="Cambria" w:cs="Cambria" w:hAnsi="Cambria" w:eastAsia="Cambria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didattica, argomento</w:t>
            </w:r>
          </w:p>
        </w:tc>
        <w:tc>
          <w:tcPr>
            <w:tcW w:type="dxa" w:w="393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Contenuti disciplinari</w:t>
            </w:r>
          </w:p>
        </w:tc>
        <w:tc>
          <w:tcPr>
            <w:tcW w:type="dxa" w:w="2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Ore/Mese programmato</w:t>
            </w:r>
          </w:p>
        </w:tc>
      </w:tr>
      <w:tr>
        <w:tblPrEx>
          <w:shd w:val="clear" w:color="auto" w:fill="000000"/>
        </w:tblPrEx>
        <w:trPr>
          <w:trHeight w:val="445" w:hRule="atLeast"/>
        </w:trPr>
        <w:tc>
          <w:tcPr>
            <w:tcW w:type="dxa" w:w="786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1</w:t>
            </w:r>
          </w:p>
        </w:tc>
        <w:tc>
          <w:tcPr>
            <w:tcW w:type="dxa" w:w="2657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Steve Reich</w:t>
            </w:r>
          </w:p>
        </w:tc>
        <w:tc>
          <w:tcPr>
            <w:tcW w:type="dxa" w:w="3934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Nagoya Guitar</w:t>
            </w:r>
          </w:p>
        </w:tc>
        <w:tc>
          <w:tcPr>
            <w:tcW w:type="dxa" w:w="2459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*</w:t>
            </w:r>
          </w:p>
        </w:tc>
      </w:tr>
      <w:tr>
        <w:tblPrEx>
          <w:shd w:val="clear" w:color="auto" w:fill="000000"/>
        </w:tblPrEx>
        <w:trPr>
          <w:trHeight w:val="430" w:hRule="atLeast"/>
        </w:trPr>
        <w:tc>
          <w:tcPr>
            <w:tcW w:type="dxa" w:w="78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2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Kogi Kondo</w:t>
            </w:r>
          </w:p>
        </w:tc>
        <w:tc>
          <w:tcPr>
            <w:tcW w:type="dxa" w:w="393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SMB Theme</w:t>
            </w:r>
          </w:p>
        </w:tc>
        <w:tc>
          <w:tcPr>
            <w:tcW w:type="dxa" w:w="2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*</w:t>
            </w:r>
          </w:p>
        </w:tc>
      </w:tr>
      <w:tr>
        <w:tblPrEx>
          <w:shd w:val="clear" w:color="auto" w:fill="000000"/>
        </w:tblPrEx>
        <w:trPr>
          <w:trHeight w:val="430" w:hRule="atLeast"/>
        </w:trPr>
        <w:tc>
          <w:tcPr>
            <w:tcW w:type="dxa" w:w="78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3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Paul Desmond</w:t>
            </w:r>
          </w:p>
        </w:tc>
        <w:tc>
          <w:tcPr>
            <w:tcW w:type="dxa" w:w="393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Take Five</w:t>
            </w:r>
          </w:p>
        </w:tc>
        <w:tc>
          <w:tcPr>
            <w:tcW w:type="dxa" w:w="2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*</w:t>
            </w:r>
          </w:p>
        </w:tc>
      </w:tr>
      <w:tr>
        <w:tblPrEx>
          <w:shd w:val="clear" w:color="auto" w:fill="000000"/>
        </w:tblPrEx>
        <w:trPr>
          <w:trHeight w:val="430" w:hRule="atLeast"/>
        </w:trPr>
        <w:tc>
          <w:tcPr>
            <w:tcW w:type="dxa" w:w="78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4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Danny Elfmann</w:t>
            </w:r>
          </w:p>
        </w:tc>
        <w:tc>
          <w:tcPr>
            <w:tcW w:type="dxa" w:w="393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The Simpsons Theme</w:t>
            </w:r>
          </w:p>
        </w:tc>
        <w:tc>
          <w:tcPr>
            <w:tcW w:type="dxa" w:w="2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*</w:t>
            </w:r>
          </w:p>
        </w:tc>
      </w:tr>
      <w:tr>
        <w:tblPrEx>
          <w:shd w:val="clear" w:color="auto" w:fill="000000"/>
        </w:tblPrEx>
        <w:trPr>
          <w:trHeight w:val="430" w:hRule="atLeast"/>
        </w:trPr>
        <w:tc>
          <w:tcPr>
            <w:tcW w:type="dxa" w:w="78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5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Luigi Boccherini</w:t>
            </w:r>
          </w:p>
        </w:tc>
        <w:tc>
          <w:tcPr>
            <w:tcW w:type="dxa" w:w="393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Introduzione e Fandango</w:t>
            </w:r>
          </w:p>
        </w:tc>
        <w:tc>
          <w:tcPr>
            <w:tcW w:type="dxa" w:w="2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*</w:t>
            </w:r>
          </w:p>
        </w:tc>
      </w:tr>
      <w:tr>
        <w:tblPrEx>
          <w:shd w:val="clear" w:color="auto" w:fill="000000"/>
        </w:tblPrEx>
        <w:trPr>
          <w:trHeight w:val="430" w:hRule="atLeast"/>
        </w:trPr>
        <w:tc>
          <w:tcPr>
            <w:tcW w:type="dxa" w:w="78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6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Metallica</w:t>
            </w:r>
          </w:p>
        </w:tc>
        <w:tc>
          <w:tcPr>
            <w:tcW w:type="dxa" w:w="393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 xml:space="preserve">Nothing Else Matter </w:t>
            </w:r>
          </w:p>
        </w:tc>
        <w:tc>
          <w:tcPr>
            <w:tcW w:type="dxa" w:w="2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*</w:t>
            </w:r>
          </w:p>
        </w:tc>
      </w:tr>
      <w:tr>
        <w:tblPrEx>
          <w:shd w:val="clear" w:color="auto" w:fill="000000"/>
        </w:tblPrEx>
        <w:trPr>
          <w:trHeight w:val="430" w:hRule="atLeast"/>
        </w:trPr>
        <w:tc>
          <w:tcPr>
            <w:tcW w:type="dxa" w:w="78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7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Lennard Farwick</w:t>
            </w:r>
          </w:p>
        </w:tc>
        <w:tc>
          <w:tcPr>
            <w:tcW w:type="dxa" w:w="393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El Pocito Tango</w:t>
            </w:r>
          </w:p>
        </w:tc>
        <w:tc>
          <w:tcPr>
            <w:tcW w:type="dxa" w:w="2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*</w:t>
            </w:r>
          </w:p>
        </w:tc>
      </w:tr>
      <w:tr>
        <w:tblPrEx>
          <w:shd w:val="clear" w:color="auto" w:fill="000000"/>
        </w:tblPrEx>
        <w:trPr>
          <w:trHeight w:val="430" w:hRule="atLeast"/>
        </w:trPr>
        <w:tc>
          <w:tcPr>
            <w:tcW w:type="dxa" w:w="78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8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Mirko Ballico</w:t>
            </w:r>
          </w:p>
        </w:tc>
        <w:tc>
          <w:tcPr>
            <w:tcW w:type="dxa" w:w="393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Danse de la Normandie</w:t>
            </w:r>
          </w:p>
        </w:tc>
        <w:tc>
          <w:tcPr>
            <w:tcW w:type="dxa" w:w="2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*</w:t>
            </w:r>
          </w:p>
        </w:tc>
      </w:tr>
      <w:tr>
        <w:tblPrEx>
          <w:shd w:val="clear" w:color="auto" w:fill="000000"/>
        </w:tblPrEx>
        <w:trPr>
          <w:trHeight w:val="430" w:hRule="atLeast"/>
        </w:trPr>
        <w:tc>
          <w:tcPr>
            <w:tcW w:type="dxa" w:w="78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9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Mirko Ballico</w:t>
            </w:r>
          </w:p>
        </w:tc>
        <w:tc>
          <w:tcPr>
            <w:tcW w:type="dxa" w:w="393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Aria Americana</w:t>
            </w:r>
          </w:p>
        </w:tc>
        <w:tc>
          <w:tcPr>
            <w:tcW w:type="dxa" w:w="2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*</w:t>
            </w:r>
          </w:p>
        </w:tc>
      </w:tr>
      <w:tr>
        <w:tblPrEx>
          <w:shd w:val="clear" w:color="auto" w:fill="000000"/>
        </w:tblPrEx>
        <w:trPr>
          <w:trHeight w:val="430" w:hRule="atLeast"/>
        </w:trPr>
        <w:tc>
          <w:tcPr>
            <w:tcW w:type="dxa" w:w="78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10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Mirko Ballico</w:t>
            </w:r>
          </w:p>
        </w:tc>
        <w:tc>
          <w:tcPr>
            <w:tcW w:type="dxa" w:w="393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Danza Espagnola</w:t>
            </w:r>
          </w:p>
        </w:tc>
        <w:tc>
          <w:tcPr>
            <w:tcW w:type="dxa" w:w="2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*</w:t>
            </w:r>
          </w:p>
        </w:tc>
      </w:tr>
      <w:tr>
        <w:tblPrEx>
          <w:shd w:val="clear" w:color="auto" w:fill="000000"/>
        </w:tblPrEx>
        <w:trPr>
          <w:trHeight w:val="430" w:hRule="atLeast"/>
        </w:trPr>
        <w:tc>
          <w:tcPr>
            <w:tcW w:type="dxa" w:w="78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11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Leo Brouwer</w:t>
            </w:r>
          </w:p>
        </w:tc>
        <w:tc>
          <w:tcPr>
            <w:tcW w:type="dxa" w:w="393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The Fool on the hill</w:t>
            </w:r>
          </w:p>
        </w:tc>
        <w:tc>
          <w:tcPr>
            <w:tcW w:type="dxa" w:w="2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*</w:t>
            </w:r>
          </w:p>
        </w:tc>
      </w:tr>
      <w:tr>
        <w:tblPrEx>
          <w:shd w:val="clear" w:color="auto" w:fill="000000"/>
        </w:tblPrEx>
        <w:trPr>
          <w:trHeight w:val="430" w:hRule="atLeast"/>
        </w:trPr>
        <w:tc>
          <w:tcPr>
            <w:tcW w:type="dxa" w:w="78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12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Django Reinhardt</w:t>
            </w:r>
          </w:p>
        </w:tc>
        <w:tc>
          <w:tcPr>
            <w:tcW w:type="dxa" w:w="393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Minor Swing</w:t>
            </w:r>
          </w:p>
        </w:tc>
        <w:tc>
          <w:tcPr>
            <w:tcW w:type="dxa" w:w="2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*</w:t>
            </w:r>
          </w:p>
        </w:tc>
      </w:tr>
      <w:tr>
        <w:tblPrEx>
          <w:shd w:val="clear" w:color="auto" w:fill="000000"/>
        </w:tblPrEx>
        <w:trPr>
          <w:trHeight w:val="430" w:hRule="atLeast"/>
        </w:trPr>
        <w:tc>
          <w:tcPr>
            <w:tcW w:type="dxa" w:w="78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13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Domenico Scarlatti</w:t>
            </w:r>
          </w:p>
        </w:tc>
        <w:tc>
          <w:tcPr>
            <w:tcW w:type="dxa" w:w="393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Sonata K430</w:t>
            </w:r>
          </w:p>
        </w:tc>
        <w:tc>
          <w:tcPr>
            <w:tcW w:type="dxa" w:w="2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*</w:t>
            </w:r>
          </w:p>
        </w:tc>
      </w:tr>
      <w:tr>
        <w:tblPrEx>
          <w:shd w:val="clear" w:color="auto" w:fill="000000"/>
        </w:tblPrEx>
        <w:trPr>
          <w:trHeight w:val="430" w:hRule="atLeast"/>
        </w:trPr>
        <w:tc>
          <w:tcPr>
            <w:tcW w:type="dxa" w:w="78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14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Sebastian Vachez</w:t>
            </w:r>
          </w:p>
        </w:tc>
        <w:tc>
          <w:tcPr>
            <w:tcW w:type="dxa" w:w="393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Ravel En Novembre</w:t>
            </w:r>
          </w:p>
        </w:tc>
        <w:tc>
          <w:tcPr>
            <w:tcW w:type="dxa" w:w="2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*</w:t>
            </w:r>
          </w:p>
        </w:tc>
      </w:tr>
      <w:tr>
        <w:tblPrEx>
          <w:shd w:val="clear" w:color="auto" w:fill="000000"/>
        </w:tblPrEx>
        <w:trPr>
          <w:trHeight w:val="430" w:hRule="atLeast"/>
        </w:trPr>
        <w:tc>
          <w:tcPr>
            <w:tcW w:type="dxa" w:w="78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15</w:t>
            </w:r>
          </w:p>
        </w:tc>
        <w:tc>
          <w:tcPr>
            <w:tcW w:type="dxa" w:w="265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Sebastian Vachez</w:t>
            </w:r>
          </w:p>
        </w:tc>
        <w:tc>
          <w:tcPr>
            <w:tcW w:type="dxa" w:w="393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Adeus</w:t>
            </w:r>
          </w:p>
        </w:tc>
        <w:tc>
          <w:tcPr>
            <w:tcW w:type="dxa" w:w="2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</w:rPr>
              <w:t>*</w:t>
            </w:r>
          </w:p>
        </w:tc>
      </w:tr>
    </w:tbl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 w:val="1"/>
        <w:bidi w:val="0"/>
        <w:spacing w:before="0" w:after="0" w:line="240" w:lineRule="auto"/>
        <w:ind w:left="0" w:right="0" w:firstLine="0"/>
        <w:jc w:val="left"/>
        <w:outlineLvl w:val="0"/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/>
          <w:vertAlign w:val="baseline"/>
          <w:rtl w:val="0"/>
        </w:rPr>
      </w:pPr>
      <w: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/>
          <w:vertAlign w:val="baseline"/>
          <w:rtl w:val="0"/>
          <w:lang w:val="it-IT"/>
        </w:rPr>
        <w:t>* Il percorso formativo, pur prevedendo una generica scansione in moduli, data la specificit</w:t>
      </w:r>
      <w: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/>
          <w:vertAlign w:val="baseline"/>
          <w:rtl w:val="0"/>
          <w:lang w:val="it-IT"/>
        </w:rPr>
        <w:t xml:space="preserve">à </w:t>
      </w:r>
      <w: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/>
          <w:vertAlign w:val="baseline"/>
          <w:rtl w:val="0"/>
          <w:lang w:val="it-IT"/>
        </w:rPr>
        <w:t>della materia non pu</w:t>
      </w:r>
      <w: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/>
          <w:vertAlign w:val="baseline"/>
          <w:rtl w:val="0"/>
          <w:lang w:val="it-IT"/>
        </w:rPr>
        <w:t xml:space="preserve">ò </w:t>
      </w:r>
      <w: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/>
          <w:vertAlign w:val="baseline"/>
          <w:rtl w:val="0"/>
          <w:lang w:val="it-IT"/>
        </w:rPr>
        <w:t>che svolgersi nel corso di lunghe periodizzazioni scolastiche, con momenti di pi</w:t>
      </w:r>
      <w: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/>
          <w:vertAlign w:val="baseline"/>
          <w:rtl w:val="0"/>
          <w:lang w:val="it-IT"/>
        </w:rPr>
        <w:t xml:space="preserve">ù </w:t>
      </w:r>
      <w: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/>
          <w:vertAlign w:val="baseline"/>
          <w:rtl w:val="0"/>
          <w:lang w:val="it-IT"/>
        </w:rPr>
        <w:t>intensa o mirata attivit</w:t>
      </w:r>
      <w: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/>
          <w:vertAlign w:val="baseline"/>
          <w:rtl w:val="0"/>
          <w:lang w:val="it-IT"/>
        </w:rPr>
        <w:t xml:space="preserve">à </w:t>
      </w:r>
      <w: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/>
          <w:vertAlign w:val="baseline"/>
          <w:rtl w:val="0"/>
          <w:lang w:val="it-IT"/>
        </w:rPr>
        <w:t>in occasione di performance pubbliche o di preparazione ad esse</w:t>
      </w:r>
    </w:p>
    <w:p>
      <w:pPr>
        <w:pStyle w:val="Normale"/>
        <w:ind w:left="6372" w:firstLine="708"/>
      </w:pPr>
    </w:p>
    <w:p>
      <w:pPr>
        <w:pStyle w:val="Normale"/>
        <w:ind w:left="6372" w:firstLine="708"/>
      </w:pPr>
    </w:p>
    <w:p>
      <w:pPr>
        <w:pStyle w:val="Normale"/>
        <w:ind w:left="6372" w:firstLine="708"/>
      </w:pPr>
    </w:p>
    <w:p>
      <w:pPr>
        <w:pStyle w:val="Normale"/>
        <w:ind w:left="6372" w:firstLine="708"/>
        <w:rPr>
          <w:rStyle w:val="Nessuno"/>
          <w:smallCaps w:val="1"/>
        </w:rPr>
      </w:pPr>
      <w:r>
        <w:rPr>
          <w:rStyle w:val="Nessuno"/>
          <w:smallCaps w:val="1"/>
          <w:rtl w:val="0"/>
          <w:lang w:val="it-IT"/>
        </w:rPr>
        <w:t>Il Docente</w:t>
      </w: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  <w:ind w:left="5664" w:firstLine="0"/>
      </w:pPr>
      <w:r>
        <w:rPr>
          <w:rStyle w:val="Nessuno"/>
          <w:smallCaps w:val="1"/>
          <w:rtl w:val="0"/>
          <w:lang w:val="it-IT"/>
        </w:rPr>
        <w:t xml:space="preserve">      I rappresentanti degli Studenti</w:t>
      </w:r>
    </w:p>
    <w:sectPr>
      <w:headerReference w:type="default" r:id="rId4"/>
      <w:footerReference w:type="default" r:id="rId5"/>
      <w:pgSz w:w="11900" w:h="16840" w:orient="portrait"/>
      <w:pgMar w:top="454" w:right="737" w:bottom="454" w:left="1304" w:header="454" w:footer="45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rial Narrow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Piè di pagina"/>
      <w:jc w:val="center"/>
      <w:rPr>
        <w:rStyle w:val="Nessuno"/>
        <w:rFonts w:ascii="Arial Narrow" w:cs="Arial Narrow" w:hAnsi="Arial Narrow" w:eastAsia="Arial Narrow"/>
        <w:b w:val="1"/>
        <w:bCs w:val="1"/>
        <w:sz w:val="21"/>
        <w:szCs w:val="21"/>
      </w:rPr>
    </w:pPr>
    <w:r>
      <w:rPr>
        <w:rStyle w:val="Nessuno"/>
        <w:sz w:val="21"/>
        <w:szCs w:val="21"/>
        <w:rtl w:val="0"/>
      </w:rPr>
      <w:fldChar w:fldCharType="begin" w:fldLock="0"/>
    </w:r>
    <w:r>
      <w:rPr>
        <w:rStyle w:val="Nessuno"/>
        <w:sz w:val="21"/>
        <w:szCs w:val="21"/>
        <w:rtl w:val="0"/>
      </w:rPr>
      <w:instrText xml:space="preserve"> PAGE </w:instrText>
    </w:r>
    <w:r>
      <w:rPr>
        <w:rStyle w:val="Nessuno"/>
        <w:sz w:val="21"/>
        <w:szCs w:val="21"/>
        <w:rtl w:val="0"/>
      </w:rPr>
      <w:fldChar w:fldCharType="separate" w:fldLock="0"/>
    </w:r>
    <w:r>
      <w:rPr>
        <w:rStyle w:val="Nessuno"/>
        <w:sz w:val="21"/>
        <w:szCs w:val="21"/>
        <w:rtl w:val="0"/>
      </w:rPr>
      <w:t>2</w:t>
    </w:r>
    <w:r>
      <w:rPr>
        <w:rStyle w:val="Nessuno"/>
        <w:sz w:val="21"/>
        <w:szCs w:val="21"/>
        <w:rtl w:val="0"/>
      </w:rPr>
      <w:fldChar w:fldCharType="end" w:fldLock="0"/>
    </w:r>
  </w:p>
  <w:p>
    <w:pPr>
      <w:pStyle w:val="Piè di pagina"/>
      <w:pBdr>
        <w:top w:val="single" w:color="000000" w:sz="4" w:space="0" w:shadow="0" w:frame="0"/>
        <w:left w:val="nil"/>
        <w:bottom w:val="nil"/>
        <w:right w:val="nil"/>
      </w:pBdr>
      <w:jc w:val="center"/>
    </w:pPr>
    <w:r>
      <w:rPr>
        <w:rStyle w:val="Nessuno"/>
        <w:rFonts w:ascii="Arial Narrow" w:hAnsi="Arial Narrow"/>
        <w:b w:val="1"/>
        <w:bCs w:val="1"/>
        <w:sz w:val="16"/>
        <w:szCs w:val="16"/>
        <w:rtl w:val="0"/>
        <w:lang w:val="it-IT"/>
      </w:rPr>
      <w:t>MOD-20</w:t>
    </w:r>
    <w:r>
      <w:rPr>
        <w:rStyle w:val="Nessuno"/>
        <w:rFonts w:ascii="Arial Narrow" w:hAnsi="Arial Narrow"/>
        <w:sz w:val="16"/>
        <w:szCs w:val="16"/>
        <w:rtl w:val="0"/>
        <w:lang w:val="it-IT"/>
      </w:rPr>
      <w:t xml:space="preserve">   Rev. 2   18/04/2011    RQ      DS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e"/>
      <w:jc w:val="center"/>
    </w:pPr>
    <w:r>
      <w:drawing>
        <wp:inline distT="0" distB="0" distL="0" distR="0">
          <wp:extent cx="504547" cy="319610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rchio canc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547" cy="3196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Normale"/>
      <w:jc w:val="center"/>
      <w:rPr>
        <w:rStyle w:val="Nessuno"/>
        <w:smallCaps w:val="1"/>
        <w:spacing w:val="80"/>
        <w:sz w:val="18"/>
        <w:szCs w:val="18"/>
      </w:rPr>
    </w:pPr>
    <w:r>
      <w:rPr>
        <w:rStyle w:val="Nessuno"/>
        <w:smallCaps w:val="1"/>
        <w:spacing w:val="80"/>
        <w:sz w:val="18"/>
        <w:szCs w:val="18"/>
        <w:rtl w:val="0"/>
        <w:lang w:val="it-IT"/>
      </w:rPr>
      <w:t>Istituto di Istruzione Superiore</w:t>
    </w:r>
  </w:p>
  <w:p>
    <w:pPr>
      <w:pStyle w:val="Normale"/>
      <w:spacing w:before="60"/>
      <w:jc w:val="center"/>
      <w:rPr>
        <w:rStyle w:val="Nessuno"/>
        <w:spacing w:val="80"/>
        <w:sz w:val="20"/>
        <w:szCs w:val="20"/>
      </w:rPr>
    </w:pPr>
    <w:r>
      <w:rPr>
        <w:rStyle w:val="Nessuno"/>
        <w:spacing w:val="80"/>
        <w:sz w:val="20"/>
        <w:szCs w:val="20"/>
        <w:rtl w:val="0"/>
        <w:lang w:val="it-IT"/>
      </w:rPr>
      <w:t>“</w:t>
    </w:r>
    <w:r>
      <w:rPr>
        <w:rStyle w:val="Nessuno"/>
        <w:spacing w:val="80"/>
        <w:sz w:val="20"/>
        <w:szCs w:val="20"/>
        <w:rtl w:val="0"/>
        <w:lang w:val="it-IT"/>
      </w:rPr>
      <w:t>CONCETTO MARCHESI</w:t>
    </w:r>
    <w:r>
      <w:rPr>
        <w:rStyle w:val="Nessuno"/>
        <w:spacing w:val="80"/>
        <w:sz w:val="20"/>
        <w:szCs w:val="20"/>
        <w:rtl w:val="0"/>
        <w:lang w:val="it-IT"/>
      </w:rPr>
      <w:t>”</w:t>
    </w:r>
  </w:p>
  <w:p>
    <w:pPr>
      <w:pStyle w:val="Intestazione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character" w:styleId="Nessuno">
    <w:name w:val="Nessuno"/>
    <w:rPr>
      <w:lang w:val="it-IT"/>
    </w:rPr>
  </w:style>
  <w:style w:type="paragraph" w:styleId="Intestazione">
    <w:name w:val="Intestazione"/>
    <w:next w:val="Intestazione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Piè di pagina">
    <w:name w:val="Piè di pagina"/>
    <w:next w:val="Piè di pagina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Titolo 3">
    <w:name w:val="Titolo 3"/>
    <w:next w:val="Normale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2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 w:color="000000"/>
      <w:vertAlign w:val="baseline"/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