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</w:pPr>
      <w:bookmarkStart w:id="0" w:name="_GoBack"/>
      <w:bookmarkEnd w:id="0"/>
      <w:r>
        <w:rPr/>
        <w:drawing>
          <wp:inline distT="0" distB="0" distL="0" distR="0">
            <wp:extent cx="668655" cy="42291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keepNext/>
        <w:numPr>
          <w:ilvl w:val="0"/>
          <w:numId w:val="0"/>
        </w:numPr>
        <w:spacing w:lineRule="auto" w:line="240" w:before="100" w:after="0"/>
        <w:jc w:val="center"/>
        <w:outlineLvl w:val="0"/>
      </w:pPr>
      <w:r>
        <w:rPr>
          <w:rFonts w:eastAsia="Times New Roman" w:ascii="Arial" w:hAnsi="Arial"/>
          <w:smallCaps/>
          <w:spacing w:val="100"/>
          <w:sz w:val="21"/>
          <w:szCs w:val="21"/>
          <w:lang w:eastAsia="it-IT"/>
        </w:rPr>
        <w:t>Istituto di Istruzione Superiore</w:t>
      </w:r>
      <w:r/>
    </w:p>
    <w:p>
      <w:pPr>
        <w:pStyle w:val="Normal"/>
        <w:spacing w:lineRule="auto" w:line="240" w:before="60" w:after="0"/>
        <w:jc w:val="center"/>
      </w:pPr>
      <w:r>
        <w:rPr>
          <w:rFonts w:eastAsia="Times New Roman" w:ascii="Arial" w:hAnsi="Arial"/>
          <w:spacing w:val="100"/>
          <w:lang w:eastAsia="it-IT"/>
        </w:rPr>
        <w:t>“</w:t>
      </w:r>
      <w:r>
        <w:rPr>
          <w:rFonts w:eastAsia="Times New Roman" w:ascii="Arial" w:hAnsi="Arial"/>
          <w:spacing w:val="100"/>
          <w:lang w:eastAsia="it-IT"/>
        </w:rPr>
        <w:t>CONCETTO MARCHESI”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                                                 </w:t>
      </w:r>
      <w:r>
        <w:rPr>
          <w:rFonts w:eastAsia="Times New Roman" w:ascii="Arial" w:hAnsi="Arial"/>
          <w:b/>
          <w:bCs/>
          <w:szCs w:val="24"/>
          <w:lang w:eastAsia="it-IT"/>
        </w:rPr>
        <w:t>PROGRAMMA DI ITALIANO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CLASSE I AE</w:t>
        <w:tab/>
        <w:tab/>
        <w:tab/>
        <w:tab/>
        <w:tab/>
        <w:tab/>
        <w:tab/>
        <w:t>a.s. 201</w:t>
      </w:r>
      <w:r>
        <w:rPr>
          <w:rFonts w:eastAsia="Times New Roman" w:ascii="Arial" w:hAnsi="Arial"/>
          <w:szCs w:val="24"/>
          <w:lang w:eastAsia="it-IT"/>
        </w:rPr>
        <w:t>5</w:t>
      </w:r>
      <w:r>
        <w:rPr>
          <w:rFonts w:eastAsia="Times New Roman" w:ascii="Arial" w:hAnsi="Arial"/>
          <w:szCs w:val="24"/>
          <w:lang w:eastAsia="it-IT"/>
        </w:rPr>
        <w:t>/1</w:t>
      </w:r>
      <w:r>
        <w:rPr>
          <w:rFonts w:eastAsia="Times New Roman" w:ascii="Arial" w:hAnsi="Arial"/>
          <w:szCs w:val="24"/>
          <w:lang w:eastAsia="it-IT"/>
        </w:rPr>
        <w:t>6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prof. MARAGGIA GIOVANNA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u w:val="single"/>
          <w:lang w:eastAsia="it-IT"/>
        </w:rPr>
        <w:t>TESTI:</w:t>
      </w:r>
      <w:r>
        <w:rPr>
          <w:rFonts w:eastAsia="Times New Roman" w:ascii="Arial" w:hAnsi="Arial"/>
          <w:szCs w:val="24"/>
          <w:lang w:eastAsia="it-IT"/>
        </w:rPr>
        <w:t xml:space="preserve">        Franzi-Damele, Più italiano, Archimede 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                   </w:t>
      </w:r>
      <w:r>
        <w:rPr>
          <w:rFonts w:eastAsia="Times New Roman" w:ascii="Arial" w:hAnsi="Arial"/>
          <w:szCs w:val="24"/>
          <w:lang w:eastAsia="it-IT"/>
        </w:rPr>
        <w:t>Gineprini-Livi-Seminara</w:t>
      </w:r>
      <w:r>
        <w:rPr>
          <w:rFonts w:eastAsia="Times New Roman" w:ascii="Arial" w:hAnsi="Arial"/>
          <w:szCs w:val="24"/>
          <w:lang w:eastAsia="it-IT"/>
        </w:rPr>
        <w:t xml:space="preserve"> </w:t>
      </w:r>
      <w:r>
        <w:rPr>
          <w:rFonts w:eastAsia="Times New Roman" w:ascii="Arial" w:hAnsi="Arial"/>
          <w:szCs w:val="24"/>
          <w:lang w:eastAsia="it-IT"/>
        </w:rPr>
        <w:t>La narrazione</w:t>
      </w:r>
      <w:r>
        <w:rPr>
          <w:rFonts w:eastAsia="Times New Roman" w:ascii="Arial" w:hAnsi="Arial"/>
          <w:szCs w:val="24"/>
          <w:lang w:eastAsia="it-IT"/>
        </w:rPr>
        <w:t xml:space="preserve">, </w:t>
      </w:r>
      <w:r>
        <w:rPr>
          <w:rFonts w:eastAsia="Times New Roman" w:ascii="Arial" w:hAnsi="Arial"/>
          <w:szCs w:val="24"/>
          <w:lang w:eastAsia="it-IT"/>
        </w:rPr>
        <w:t>vol. A, Loescher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                   </w:t>
      </w:r>
      <w:r>
        <w:rPr>
          <w:rFonts w:eastAsia="Times New Roman" w:ascii="Arial" w:hAnsi="Arial"/>
          <w:szCs w:val="24"/>
          <w:lang w:eastAsia="it-IT"/>
        </w:rPr>
        <w:t>Gineprini-Livi-Seminara</w:t>
      </w:r>
      <w:r>
        <w:rPr>
          <w:rFonts w:eastAsia="Times New Roman" w:ascii="Arial" w:hAnsi="Arial"/>
          <w:szCs w:val="24"/>
          <w:lang w:eastAsia="it-IT"/>
        </w:rPr>
        <w:t xml:space="preserve"> Epica, </w:t>
      </w:r>
      <w:r>
        <w:rPr>
          <w:rFonts w:eastAsia="Times New Roman" w:ascii="Arial" w:hAnsi="Arial"/>
          <w:szCs w:val="24"/>
          <w:lang w:eastAsia="it-IT"/>
        </w:rPr>
        <w:t>vol.C, Loescher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u w:val="single"/>
          <w:lang w:eastAsia="it-IT"/>
        </w:rPr>
        <w:t>NARRATIVA: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Analisi del testo narrativo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Percorso </w:t>
      </w:r>
      <w:r>
        <w:rPr>
          <w:rFonts w:eastAsia="Times New Roman" w:ascii="Arial" w:hAnsi="Arial"/>
          <w:szCs w:val="24"/>
          <w:lang w:eastAsia="it-IT"/>
        </w:rPr>
        <w:t>1</w:t>
      </w:r>
      <w:r>
        <w:rPr>
          <w:rFonts w:eastAsia="Times New Roman" w:ascii="Arial" w:hAnsi="Arial"/>
          <w:szCs w:val="24"/>
          <w:lang w:eastAsia="it-IT"/>
        </w:rPr>
        <w:t xml:space="preserve">: </w:t>
      </w:r>
      <w:r>
        <w:rPr>
          <w:rFonts w:eastAsia="Times New Roman" w:ascii="Arial" w:hAnsi="Arial"/>
          <w:szCs w:val="24"/>
          <w:lang w:eastAsia="it-IT"/>
        </w:rPr>
        <w:t>I</w:t>
      </w:r>
      <w:r>
        <w:rPr>
          <w:rFonts w:eastAsia="Times New Roman" w:ascii="Arial" w:hAnsi="Arial"/>
          <w:szCs w:val="24"/>
          <w:lang w:eastAsia="it-IT"/>
        </w:rPr>
        <w:t xml:space="preserve"> metodi della narrazione</w:t>
        <w:tab/>
        <w:tab/>
        <w:tab/>
        <w:tab/>
        <w:tab/>
        <w:tab/>
        <w:tab/>
        <w:tab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Unità 1: La</w:t>
      </w:r>
      <w:r>
        <w:rPr>
          <w:rFonts w:eastAsia="Times New Roman" w:ascii="Arial" w:hAnsi="Arial"/>
          <w:szCs w:val="24"/>
          <w:lang w:eastAsia="it-IT"/>
        </w:rPr>
        <w:t xml:space="preserve"> struttura della narrazione                                                                            </w:t>
      </w:r>
      <w:r>
        <w:rPr>
          <w:rFonts w:eastAsia="Times New Roman" w:ascii="Arial" w:hAnsi="Arial"/>
          <w:szCs w:val="24"/>
          <w:lang w:eastAsia="it-IT"/>
        </w:rPr>
        <w:tab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C. Lucarelli: </w:t>
      </w:r>
      <w:r>
        <w:rPr>
          <w:rFonts w:eastAsia="Times New Roman" w:ascii="Arial" w:hAnsi="Arial"/>
          <w:i w:val="false"/>
          <w:iCs w:val="false"/>
          <w:szCs w:val="24"/>
          <w:u w:val="none"/>
          <w:lang w:eastAsia="it-IT"/>
        </w:rPr>
        <w:t>Il</w:t>
      </w:r>
      <w:r>
        <w:rPr>
          <w:rFonts w:eastAsia="Times New Roman" w:ascii="Arial" w:hAnsi="Arial"/>
          <w:i w:val="false"/>
          <w:iCs w:val="false"/>
          <w:szCs w:val="24"/>
          <w:u w:val="none"/>
          <w:lang w:eastAsia="it-IT"/>
        </w:rPr>
        <w:tab/>
      </w:r>
      <w:r>
        <w:rPr>
          <w:rFonts w:eastAsia="Times New Roman" w:ascii="Arial" w:hAnsi="Arial"/>
          <w:i w:val="false"/>
          <w:iCs w:val="false"/>
          <w:szCs w:val="24"/>
          <w:u w:val="none"/>
          <w:lang w:eastAsia="it-IT"/>
        </w:rPr>
        <w:t>silenzio dei musei                                                                                       p.  3</w:t>
      </w:r>
      <w:r/>
    </w:p>
    <w:p>
      <w:pPr>
        <w:pStyle w:val="Normal"/>
        <w:spacing w:lineRule="auto" w:line="240" w:before="0" w:after="0"/>
        <w:rPr>
          <w:i w:val="false"/>
          <w:i w:val="false"/>
          <w:iCs w:val="false"/>
          <w:rFonts w:ascii="Calibri" w:hAnsi="Calibri" w:eastAsia="Calibri" w:cs="Times New Roman"/>
        </w:rPr>
      </w:pPr>
      <w:r>
        <w:rPr>
          <w:i w:val="false"/>
          <w:iCs w:val="false"/>
        </w:rPr>
        <w:t>P. Giordano: L'uomo che dà un'anima ai sassofoni                                                                                   p. 34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Unità 2: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>I personaggi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ab/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                                                                                                </w:t>
      </w:r>
      <w:r/>
    </w:p>
    <w:p>
      <w:pPr>
        <w:pStyle w:val="Normal"/>
        <w:tabs>
          <w:tab w:val="left" w:pos="8229" w:leader="none"/>
        </w:tabs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B. Pitzorno: Inghiottire il rospo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                                                                                          </w:t>
      </w:r>
      <w:bookmarkStart w:id="1" w:name="__UnoMark__1066_1988803370"/>
      <w:bookmarkEnd w:id="1"/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p.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>47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E. Morante: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>Il compagno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                                                                                                    p.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>64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S. Bertola                                                                                                                           p. 78 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Unità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3: Il narratore 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A. Cechov: Una notte terribile                                                                                             p. 92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A. Tabucchi: Una scelta difficile                                                                                          p. 113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V. Cerami: Un amore grandissimo                                                                                      p. 118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U</w:t>
      </w:r>
      <w:r>
        <w:rPr>
          <w:rFonts w:eastAsia="Times New Roman" w:ascii="Arial" w:hAnsi="Arial"/>
          <w:i w:val="false"/>
          <w:iCs w:val="false"/>
          <w:szCs w:val="24"/>
          <w:lang w:eastAsia="it-IT"/>
        </w:rPr>
        <w:t xml:space="preserve">nità 4: Lo spazio e il tempo 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E. Rasy: Matelda                                                                                                                 p. 131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i w:val="false"/>
          <w:iCs w:val="false"/>
          <w:szCs w:val="24"/>
          <w:lang w:eastAsia="it-IT"/>
        </w:rPr>
        <w:t>J. Cortazar: Casa occupata                                                                                                 p. 146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Silvia Avallone: Acciaio                                                                                                        p. 154</w:t>
      </w:r>
      <w:r>
        <w:rPr>
          <w:rFonts w:eastAsia="Times New Roman" w:ascii="Arial" w:hAnsi="Arial"/>
          <w:szCs w:val="24"/>
          <w:lang w:eastAsia="it-IT"/>
        </w:rPr>
        <w:tab/>
        <w:tab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u w:val="single"/>
          <w:lang w:eastAsia="it-IT"/>
        </w:rPr>
        <w:t>GRAMMATICA: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Ortografia</w:t>
        <w:tab/>
        <w:tab/>
        <w:tab/>
        <w:tab/>
        <w:tab/>
        <w:tab/>
        <w:tab/>
        <w:tab/>
        <w:tab/>
        <w:tab/>
        <w:t xml:space="preserve">     </w:t>
        <w:tab/>
        <w:t>p.    25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MORFOLOGIA: le parti del discorso: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verbo</w:t>
        <w:tab/>
        <w:tab/>
        <w:tab/>
        <w:tab/>
        <w:tab/>
        <w:tab/>
        <w:tab/>
        <w:tab/>
        <w:tab/>
        <w:tab/>
        <w:tab/>
        <w:t>p.    84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nome e l’articolo</w:t>
        <w:tab/>
        <w:tab/>
        <w:tab/>
        <w:tab/>
        <w:tab/>
        <w:tab/>
        <w:tab/>
        <w:tab/>
        <w:tab/>
        <w:tab/>
        <w:t>p.  173</w:t>
        <w:tab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L’aggettivo</w:t>
        <w:tab/>
        <w:tab/>
        <w:tab/>
        <w:tab/>
        <w:tab/>
        <w:tab/>
        <w:tab/>
        <w:tab/>
        <w:tab/>
        <w:tab/>
        <w:tab/>
        <w:t>p.  212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pronome</w:t>
        <w:tab/>
        <w:tab/>
        <w:tab/>
        <w:tab/>
        <w:tab/>
        <w:tab/>
        <w:tab/>
        <w:tab/>
        <w:tab/>
        <w:tab/>
        <w:tab/>
        <w:t>p.  252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L’avverbio</w:t>
        <w:tab/>
        <w:tab/>
        <w:tab/>
        <w:tab/>
        <w:tab/>
        <w:tab/>
        <w:tab/>
        <w:tab/>
        <w:tab/>
        <w:tab/>
        <w:tab/>
        <w:t>p.  289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La preposizione</w:t>
        <w:tab/>
        <w:tab/>
        <w:tab/>
        <w:tab/>
        <w:tab/>
        <w:tab/>
        <w:tab/>
        <w:tab/>
        <w:tab/>
        <w:tab/>
        <w:t>p.  299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La congiunzione</w:t>
        <w:tab/>
        <w:tab/>
        <w:tab/>
        <w:tab/>
        <w:tab/>
        <w:tab/>
        <w:tab/>
        <w:tab/>
        <w:tab/>
        <w:tab/>
        <w:t>p.  306</w:t>
        <w:tab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L’interiezione</w:t>
        <w:tab/>
        <w:tab/>
        <w:tab/>
        <w:tab/>
        <w:tab/>
        <w:tab/>
        <w:tab/>
        <w:tab/>
        <w:tab/>
        <w:tab/>
        <w:tab/>
        <w:t>p.  314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SINTASSI: la frase semplice: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La frase semplice o proposizione</w:t>
        <w:tab/>
        <w:tab/>
        <w:tab/>
        <w:tab/>
        <w:tab/>
        <w:tab/>
        <w:tab/>
        <w:tab/>
        <w:t>p.  328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soggetto</w:t>
        <w:tab/>
        <w:tab/>
        <w:tab/>
        <w:tab/>
        <w:tab/>
        <w:tab/>
        <w:tab/>
        <w:tab/>
        <w:tab/>
        <w:tab/>
        <w:tab/>
        <w:t>p.  336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predicato</w:t>
        <w:tab/>
        <w:tab/>
        <w:tab/>
        <w:tab/>
        <w:tab/>
        <w:tab/>
        <w:tab/>
        <w:tab/>
        <w:tab/>
        <w:tab/>
        <w:tab/>
        <w:t xml:space="preserve">p.  341 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L’attributo e l’apposizione</w:t>
        <w:tab/>
        <w:tab/>
        <w:tab/>
        <w:tab/>
        <w:tab/>
        <w:tab/>
        <w:tab/>
        <w:tab/>
        <w:tab/>
        <w:t>p.  348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complemento oggetto</w:t>
        <w:tab/>
        <w:tab/>
        <w:tab/>
        <w:tab/>
        <w:tab/>
        <w:tab/>
        <w:tab/>
        <w:tab/>
        <w:tab/>
        <w:t>p.  352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 complementi indiretti                                                                                                pp. 362-400</w:t>
      </w:r>
      <w:r/>
    </w:p>
    <w:p>
      <w:pPr>
        <w:pStyle w:val="Normal"/>
        <w:spacing w:lineRule="auto" w:line="240" w:before="0" w:after="0"/>
        <w:jc w:val="center"/>
      </w:pPr>
      <w:r>
        <w:rPr/>
        <w:drawing>
          <wp:inline distT="0" distB="0" distL="0" distR="0">
            <wp:extent cx="668655" cy="422910"/>
            <wp:effectExtent l="0" t="0" r="0" b="0"/>
            <wp:docPr id="2" name="Picture" descr="marchio c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marchio canc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keepNext/>
        <w:numPr>
          <w:ilvl w:val="0"/>
          <w:numId w:val="0"/>
        </w:numPr>
        <w:spacing w:lineRule="auto" w:line="240" w:before="100" w:after="0"/>
        <w:jc w:val="center"/>
        <w:outlineLvl w:val="0"/>
        <w:rPr>
          <w:smallCaps/>
          <w:sz w:val="21"/>
          <w:spacing w:val="100"/>
          <w:sz w:val="21"/>
          <w:szCs w:val="21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mallCaps/>
          <w:spacing w:val="100"/>
          <w:sz w:val="21"/>
          <w:szCs w:val="21"/>
          <w:lang w:eastAsia="it-IT"/>
        </w:rPr>
        <w:t>Istituto di Istruzione Superiore</w:t>
      </w:r>
      <w:r/>
    </w:p>
    <w:p>
      <w:pPr>
        <w:pStyle w:val="Normal"/>
        <w:spacing w:lineRule="auto" w:line="240" w:before="60" w:after="0"/>
        <w:jc w:val="center"/>
        <w:rPr>
          <w:spacing w:val="100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pacing w:val="100"/>
          <w:lang w:eastAsia="it-IT"/>
        </w:rPr>
        <w:t>“</w:t>
      </w:r>
      <w:r>
        <w:rPr>
          <w:rFonts w:eastAsia="Times New Roman" w:ascii="Arial" w:hAnsi="Arial"/>
          <w:spacing w:val="100"/>
          <w:lang w:eastAsia="it-IT"/>
        </w:rPr>
        <w:t>CONCETTO MARCHESI”</w:t>
      </w:r>
      <w:r/>
    </w:p>
    <w:p>
      <w:pPr>
        <w:pStyle w:val="Normal"/>
        <w:spacing w:lineRule="auto" w:line="240" w:before="60" w:after="0"/>
        <w:jc w:val="center"/>
        <w:rPr>
          <w:spacing w:val="100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pacing w:val="100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u w:val="single"/>
          <w:lang w:eastAsia="it-IT"/>
        </w:rPr>
        <w:t>COMPRENDERE E SCRIVERE TESTI: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ascii="Arial" w:hAnsi="Arial"/>
          <w:szCs w:val="24"/>
          <w:lang w:eastAsia="it-IT"/>
        </w:rPr>
        <w:t>Il riassunto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ascii="Arial" w:hAnsi="Arial"/>
          <w:szCs w:val="24"/>
          <w:lang w:eastAsia="it-IT"/>
        </w:rPr>
        <w:t>Il testo descrittivo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ascii="Arial" w:hAnsi="Arial"/>
          <w:szCs w:val="24"/>
          <w:lang w:eastAsia="it-IT"/>
        </w:rPr>
        <w:t>Il testo narrativo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ascii="Arial" w:hAnsi="Arial"/>
          <w:szCs w:val="24"/>
          <w:lang w:eastAsia="it-IT"/>
        </w:rPr>
        <w:t xml:space="preserve">Il verbale (appunti)            </w:t>
      </w:r>
      <w:r/>
    </w:p>
    <w:p>
      <w:pPr>
        <w:pStyle w:val="Normal"/>
        <w:spacing w:lineRule="auto" w:line="240" w:before="0" w:after="0"/>
        <w:jc w:val="both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u w:val="single"/>
          <w:lang w:eastAsia="it-IT"/>
        </w:rPr>
        <w:t>EPICA:</w:t>
      </w:r>
      <w:r/>
    </w:p>
    <w:p>
      <w:pPr>
        <w:pStyle w:val="Normal"/>
        <w:spacing w:lineRule="auto" w:line="240" w:before="0" w:after="0"/>
        <w:rPr>
          <w:rFonts w:ascii="Calibri" w:hAnsi="Calibri" w:eastAsia="Calibri" w:cs="Times New Roman"/>
        </w:rPr>
      </w:pPr>
      <w:r>
        <w:rPr/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IL MITO E L'EPICA</w:t>
      </w:r>
      <w:r>
        <w:rPr>
          <w:rFonts w:eastAsia="Times New Roman" w:ascii="Arial" w:hAnsi="Arial"/>
          <w:szCs w:val="24"/>
          <w:lang w:eastAsia="it-IT"/>
        </w:rPr>
        <w:t xml:space="preserve"> </w:t>
        <w:tab/>
        <w:tab/>
        <w:tab/>
        <w:t xml:space="preserve">                                                                            p.   </w:t>
      </w:r>
      <w:r>
        <w:rPr>
          <w:rFonts w:eastAsia="Times New Roman" w:ascii="Arial" w:hAnsi="Arial"/>
          <w:szCs w:val="24"/>
          <w:lang w:eastAsia="it-IT"/>
        </w:rPr>
        <w:t>2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Unità 1: La Bibbia                                                                                                          p .12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La creazione:                                                                                                                 p. 17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Il diluvio                                                                                                                          p. 22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Unità 2: L'epopea di Gilgamesh                                                                                     p. 36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Il viaggio e il racconto del diluvio                                                                                   p. 49</w:t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Unità 3: Il mito:                                                                                                               </w:t>
      </w:r>
      <w:r>
        <w:rPr>
          <w:rFonts w:eastAsia="Times New Roman" w:ascii="Arial" w:hAnsi="Arial"/>
          <w:szCs w:val="24"/>
          <w:lang w:eastAsia="it-IT"/>
        </w:rPr>
        <w:t>p. 58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Esiodo: La nascita degli dei                                                                                           p. 67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Ovidio: Deucalione e Pirra                                                                                             p. 77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Ovidio: Narciso                                                                                                               p. 88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Unità 4: L'Iliade                                                                                                               p. 92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Il proemio: Crise e Agamennone                                                                                    p. 105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La lite tra Achille e Agamennone                                                                                    p. 109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Ettore e Andromaca                                                                                                        p. 116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  <w:t>Il duello tra Ettore e Achille                                                                                             p. 133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Padova, </w:t>
      </w:r>
      <w:r>
        <w:rPr>
          <w:rFonts w:eastAsia="Times New Roman" w:ascii="Arial" w:hAnsi="Arial"/>
          <w:szCs w:val="24"/>
          <w:lang w:eastAsia="it-IT"/>
        </w:rPr>
        <w:t>5</w:t>
      </w:r>
      <w:r>
        <w:rPr>
          <w:rFonts w:eastAsia="Times New Roman" w:ascii="Arial" w:hAnsi="Arial"/>
          <w:szCs w:val="24"/>
          <w:lang w:eastAsia="it-IT"/>
        </w:rPr>
        <w:t>/6/201</w:t>
      </w:r>
      <w:r>
        <w:rPr>
          <w:rFonts w:eastAsia="Times New Roman" w:ascii="Arial" w:hAnsi="Arial"/>
          <w:szCs w:val="24"/>
          <w:lang w:eastAsia="it-IT"/>
        </w:rPr>
        <w:t>6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>I RAPPRESENTANTI DEGLI STUDENTI                                            IL DOCENTE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</w:pPr>
      <w:r>
        <w:rPr>
          <w:rFonts w:eastAsia="Times New Roman" w:ascii="Arial" w:hAnsi="Arial"/>
          <w:szCs w:val="24"/>
          <w:lang w:eastAsia="it-IT"/>
        </w:rPr>
        <w:t xml:space="preserve">                                                                     </w:t>
      </w:r>
      <w:bookmarkStart w:id="2" w:name="__UnoMark__1073_1988803370"/>
      <w:bookmarkEnd w:id="2"/>
      <w:r>
        <w:rPr>
          <w:rFonts w:eastAsia="Times New Roman" w:ascii="Arial" w:hAnsi="Arial"/>
          <w:szCs w:val="24"/>
          <w:lang w:eastAsia="it-IT"/>
        </w:rPr>
        <w:t xml:space="preserve">                           </w:t>
      </w:r>
      <w:r>
        <w:rPr>
          <w:rFonts w:eastAsia="Times New Roman" w:ascii="Segoe Script" w:hAnsi="Segoe Script"/>
          <w:szCs w:val="24"/>
          <w:lang w:eastAsia="it-IT"/>
        </w:rPr>
        <w:t xml:space="preserve">    </w:t>
      </w:r>
      <w:r>
        <w:rPr>
          <w:rFonts w:eastAsia="Times New Roman" w:cs="Vijaya" w:ascii="Vijaya" w:hAnsi="Vijaya"/>
          <w:sz w:val="36"/>
          <w:szCs w:val="36"/>
          <w:lang w:eastAsia="it-IT"/>
        </w:rPr>
        <w:t>Giovanna Maraggia</w:t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/>
          <w:lang w:eastAsia="it-IT"/>
        </w:rPr>
      </w:pPr>
      <w:r>
        <w:rPr/>
      </w:r>
      <w:r/>
    </w:p>
    <w:p>
      <w:pPr>
        <w:pStyle w:val="Normal"/>
        <w:spacing w:lineRule="auto" w:line="240" w:before="0" w:after="0"/>
        <w:rPr>
          <w:szCs w:val="24"/>
          <w:rFonts w:ascii="Arial" w:hAnsi="Arial" w:eastAsia="Times New Roman" w:cs="Times New Roman"/>
          <w:lang w:eastAsia="it-IT"/>
        </w:rPr>
      </w:pPr>
      <w:r>
        <w:rPr>
          <w:rFonts w:eastAsia="Times New Roman" w:ascii="Arial" w:hAnsi="Arial"/>
          <w:szCs w:val="24"/>
          <w:lang w:eastAsia="it-IT"/>
        </w:rPr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egoe Script">
    <w:charset w:val="00"/>
    <w:family w:val="roman"/>
    <w:pitch w:val="variable"/>
  </w:font>
  <w:font w:name="Vijay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97ee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rsid w:val="00a97ee0"/>
    <w:rPr>
      <w:rFonts w:ascii="Tahoma" w:hAnsi="Tahoma" w:eastAsia="Calibri" w:cs="Tahoma"/>
      <w:sz w:val="16"/>
      <w:szCs w:val="16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rsid w:val="00a97e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Application>LibreOffice/4.3.4.1$Windows_x86 LibreOffice_project/bc356b2f991740509f321d70e4512a6a54c5f243</Application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2015-06-25T22:07:00Z</dcterms:created>
  <dc:creator>Utente</dc:creator>
  <dc:language>it-IT</dc:language>
  <cp:lastPrinted>2015-06-28T08:32:00Z</cp:lastPrinted>
  <dcterms:modified xsi:type="dcterms:W3CDTF">2016-06-25T04:10:45Z</dcterms:modified>
  <cp:revision>10</cp:revision>
</cp:coreProperties>
</file>