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8E0" w:rsidRDefault="00AB1922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668655" cy="422910"/>
            <wp:effectExtent l="0" t="0" r="0" b="0"/>
            <wp:docPr id="1" name="Picture" descr="marchio ca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marchio can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E0" w:rsidRDefault="00AB1922">
      <w:pPr>
        <w:keepNext/>
        <w:spacing w:before="100" w:after="0" w:line="240" w:lineRule="auto"/>
        <w:jc w:val="center"/>
        <w:outlineLvl w:val="0"/>
        <w:rPr>
          <w:rFonts w:ascii="Arial" w:eastAsia="Times New Roman" w:hAnsi="Arial" w:cs="Times New Roman"/>
          <w:i/>
          <w:smallCaps/>
          <w:spacing w:val="100"/>
          <w:sz w:val="21"/>
          <w:szCs w:val="21"/>
          <w:lang w:eastAsia="it-IT"/>
        </w:rPr>
      </w:pPr>
      <w:r>
        <w:rPr>
          <w:rFonts w:ascii="Arial" w:eastAsia="Times New Roman" w:hAnsi="Arial" w:cs="Times New Roman"/>
          <w:i/>
          <w:smallCaps/>
          <w:spacing w:val="100"/>
          <w:sz w:val="21"/>
          <w:szCs w:val="21"/>
          <w:lang w:eastAsia="it-IT"/>
        </w:rPr>
        <w:t>Istituto di Istruzione Superiore</w:t>
      </w:r>
    </w:p>
    <w:p w:rsidR="00DE08E0" w:rsidRDefault="00AB1922">
      <w:pPr>
        <w:spacing w:before="60" w:after="0" w:line="240" w:lineRule="auto"/>
        <w:jc w:val="center"/>
        <w:rPr>
          <w:rFonts w:ascii="Arial" w:eastAsia="Times New Roman" w:hAnsi="Arial" w:cs="Times New Roman"/>
          <w:i/>
          <w:spacing w:val="100"/>
          <w:lang w:eastAsia="it-IT"/>
        </w:rPr>
      </w:pPr>
      <w:r>
        <w:rPr>
          <w:rFonts w:ascii="Arial" w:eastAsia="Times New Roman" w:hAnsi="Arial" w:cs="Times New Roman"/>
          <w:i/>
          <w:spacing w:val="100"/>
          <w:lang w:eastAsia="it-IT"/>
        </w:rPr>
        <w:t>“CONCETTO MARCHESI”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Pr="00AB1922" w:rsidRDefault="00AB1922">
      <w:pPr>
        <w:spacing w:after="0" w:line="240" w:lineRule="auto"/>
        <w:rPr>
          <w:rFonts w:ascii="Arial" w:eastAsia="Times New Roman" w:hAnsi="Arial" w:cs="Times New Roman"/>
          <w:b/>
          <w:szCs w:val="24"/>
          <w:lang w:eastAsia="it-IT"/>
        </w:rPr>
      </w:pPr>
      <w:r>
        <w:rPr>
          <w:rFonts w:ascii="Arial" w:eastAsia="Times New Roman" w:hAnsi="Arial" w:cs="Times New Roman"/>
          <w:b/>
          <w:szCs w:val="24"/>
          <w:lang w:eastAsia="it-IT"/>
        </w:rPr>
        <w:t xml:space="preserve">                                                </w:t>
      </w:r>
      <w:bookmarkStart w:id="0" w:name="_GoBack"/>
      <w:bookmarkEnd w:id="0"/>
      <w:r w:rsidRPr="00AB1922">
        <w:rPr>
          <w:rFonts w:ascii="Arial" w:eastAsia="Times New Roman" w:hAnsi="Arial" w:cs="Times New Roman"/>
          <w:b/>
          <w:szCs w:val="24"/>
          <w:lang w:eastAsia="it-IT"/>
        </w:rPr>
        <w:t>PROGRAMMA DI ITALIANO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CLASSE II AE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proofErr w:type="spellStart"/>
      <w:r>
        <w:rPr>
          <w:rFonts w:ascii="Arial" w:eastAsia="Times New Roman" w:hAnsi="Arial" w:cs="Times New Roman"/>
          <w:szCs w:val="24"/>
          <w:lang w:eastAsia="it-IT"/>
        </w:rPr>
        <w:t>a.s.</w:t>
      </w:r>
      <w:proofErr w:type="spellEnd"/>
      <w:r>
        <w:rPr>
          <w:rFonts w:ascii="Arial" w:eastAsia="Times New Roman" w:hAnsi="Arial" w:cs="Times New Roman"/>
          <w:szCs w:val="24"/>
          <w:lang w:eastAsia="it-IT"/>
        </w:rPr>
        <w:t xml:space="preserve"> 2015/2016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prof. MARAGGIA GIOVANNA                              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u w:val="single"/>
          <w:lang w:eastAsia="it-IT"/>
        </w:rPr>
        <w:t>TESTI:</w:t>
      </w:r>
      <w:r>
        <w:rPr>
          <w:rFonts w:ascii="Arial" w:eastAsia="Times New Roman" w:hAnsi="Arial" w:cs="Times New Roman"/>
          <w:szCs w:val="24"/>
          <w:lang w:eastAsia="it-IT"/>
        </w:rPr>
        <w:t xml:space="preserve">  </w:t>
      </w:r>
      <w:proofErr w:type="spellStart"/>
      <w:r>
        <w:rPr>
          <w:rFonts w:ascii="Arial" w:eastAsia="Times New Roman" w:hAnsi="Arial" w:cs="Times New Roman"/>
          <w:szCs w:val="24"/>
          <w:lang w:eastAsia="it-IT"/>
        </w:rPr>
        <w:t>Franzi-Damele</w:t>
      </w:r>
      <w:proofErr w:type="spellEnd"/>
      <w:r>
        <w:rPr>
          <w:rFonts w:ascii="Arial" w:eastAsia="Times New Roman" w:hAnsi="Arial" w:cs="Times New Roman"/>
          <w:szCs w:val="24"/>
          <w:lang w:eastAsia="it-IT"/>
        </w:rPr>
        <w:t>, Più italiano, Archimede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             </w:t>
      </w:r>
      <w:proofErr w:type="spellStart"/>
      <w:r>
        <w:rPr>
          <w:rFonts w:ascii="Arial" w:eastAsia="Times New Roman" w:hAnsi="Arial" w:cs="Times New Roman"/>
          <w:szCs w:val="24"/>
          <w:lang w:eastAsia="it-IT"/>
        </w:rPr>
        <w:t>Panebianco</w:t>
      </w:r>
      <w:proofErr w:type="spellEnd"/>
      <w:r>
        <w:rPr>
          <w:rFonts w:ascii="Arial" w:eastAsia="Times New Roman" w:hAnsi="Arial" w:cs="Times New Roman"/>
          <w:szCs w:val="24"/>
          <w:lang w:eastAsia="it-IT"/>
        </w:rPr>
        <w:t xml:space="preserve">-Varani, Metodi </w:t>
      </w:r>
      <w:r>
        <w:rPr>
          <w:rFonts w:ascii="Arial" w:eastAsia="Times New Roman" w:hAnsi="Arial" w:cs="Times New Roman"/>
          <w:szCs w:val="24"/>
          <w:lang w:eastAsia="it-IT"/>
        </w:rPr>
        <w:t>e fantasia, Poesia e teatro, Zanichelli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             </w:t>
      </w:r>
      <w:proofErr w:type="spellStart"/>
      <w:r>
        <w:rPr>
          <w:rFonts w:ascii="Arial" w:eastAsia="Times New Roman" w:hAnsi="Arial" w:cs="Times New Roman"/>
          <w:szCs w:val="24"/>
          <w:lang w:eastAsia="it-IT"/>
        </w:rPr>
        <w:t>Panebianco</w:t>
      </w:r>
      <w:proofErr w:type="spellEnd"/>
      <w:r>
        <w:rPr>
          <w:rFonts w:ascii="Arial" w:eastAsia="Times New Roman" w:hAnsi="Arial" w:cs="Times New Roman"/>
          <w:szCs w:val="24"/>
          <w:lang w:eastAsia="it-IT"/>
        </w:rPr>
        <w:t>-Varani, Metodi e fantasia, Epica, Zanichelli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             Alessandro Manzoni, I promessi sposi, qualsiasi edizione integrale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  <w:r>
        <w:rPr>
          <w:rFonts w:ascii="Arial" w:eastAsia="Times New Roman" w:hAnsi="Arial" w:cs="Times New Roman"/>
          <w:szCs w:val="24"/>
          <w:u w:val="single"/>
          <w:lang w:eastAsia="it-IT"/>
        </w:rPr>
        <w:t>POESIA: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Analisi del testo poetico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Percorso A: I metodi della poe</w:t>
      </w:r>
      <w:r>
        <w:rPr>
          <w:rFonts w:ascii="Arial" w:eastAsia="Times New Roman" w:hAnsi="Arial" w:cs="Times New Roman"/>
          <w:szCs w:val="24"/>
          <w:lang w:eastAsia="it-IT"/>
        </w:rPr>
        <w:t>sia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Unità A1: Il significato: il linguaggio della poesia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da p. 7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Unità A2: Il significante: la struttura del testo poetico           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da p. 51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Unità A3: Parafrasi e commento 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da p. 103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Testi analizzati: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A.  Arbasino, Io attraverso la </w:t>
      </w:r>
      <w:r>
        <w:rPr>
          <w:rFonts w:ascii="Arial" w:eastAsia="Times New Roman" w:hAnsi="Arial" w:cs="Times New Roman"/>
          <w:szCs w:val="24"/>
          <w:lang w:eastAsia="it-IT"/>
        </w:rPr>
        <w:t>strada                                                                       p. 19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Carducci, </w:t>
      </w:r>
      <w:r>
        <w:rPr>
          <w:rFonts w:ascii="Arial" w:eastAsia="Times New Roman" w:hAnsi="Arial" w:cs="Times New Roman"/>
          <w:i/>
          <w:szCs w:val="24"/>
          <w:lang w:eastAsia="it-IT"/>
        </w:rPr>
        <w:t>Pianto antico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p. 36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Carducci, </w:t>
      </w:r>
      <w:r>
        <w:rPr>
          <w:rFonts w:ascii="Arial" w:eastAsia="Times New Roman" w:hAnsi="Arial" w:cs="Times New Roman"/>
          <w:i/>
          <w:szCs w:val="24"/>
          <w:lang w:eastAsia="it-IT"/>
        </w:rPr>
        <w:t>San Martino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p. 39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C. Covoni, </w:t>
      </w:r>
      <w:r>
        <w:rPr>
          <w:rFonts w:ascii="Arial" w:eastAsia="Times New Roman" w:hAnsi="Arial" w:cs="Times New Roman"/>
          <w:i/>
          <w:szCs w:val="24"/>
          <w:lang w:eastAsia="it-IT"/>
        </w:rPr>
        <w:t xml:space="preserve">La </w:t>
      </w:r>
      <w:proofErr w:type="spellStart"/>
      <w:r>
        <w:rPr>
          <w:rFonts w:ascii="Arial" w:eastAsia="Times New Roman" w:hAnsi="Arial" w:cs="Times New Roman"/>
          <w:i/>
          <w:szCs w:val="24"/>
          <w:lang w:eastAsia="it-IT"/>
        </w:rPr>
        <w:t>trombettina</w:t>
      </w:r>
      <w:proofErr w:type="spellEnd"/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p. 41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Ungaretti, </w:t>
      </w:r>
      <w:r>
        <w:rPr>
          <w:rFonts w:ascii="Arial" w:eastAsia="Times New Roman" w:hAnsi="Arial" w:cs="Times New Roman"/>
          <w:i/>
          <w:szCs w:val="24"/>
          <w:lang w:eastAsia="it-IT"/>
        </w:rPr>
        <w:t>O notte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p. 44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A. Rimbaud, </w:t>
      </w:r>
      <w:r>
        <w:rPr>
          <w:rFonts w:ascii="Arial" w:eastAsia="Times New Roman" w:hAnsi="Arial" w:cs="Times New Roman"/>
          <w:i/>
          <w:szCs w:val="24"/>
          <w:lang w:eastAsia="it-IT"/>
        </w:rPr>
        <w:t>La mia b</w:t>
      </w:r>
      <w:r>
        <w:rPr>
          <w:rFonts w:ascii="Arial" w:eastAsia="Times New Roman" w:hAnsi="Arial" w:cs="Times New Roman"/>
          <w:i/>
          <w:szCs w:val="24"/>
          <w:lang w:eastAsia="it-IT"/>
        </w:rPr>
        <w:t>ohème (Fantasia)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p. 47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G. Caproni, </w:t>
      </w:r>
      <w:r>
        <w:rPr>
          <w:rFonts w:ascii="Arial" w:eastAsia="Times New Roman" w:hAnsi="Arial" w:cs="Times New Roman"/>
          <w:i/>
          <w:szCs w:val="24"/>
          <w:lang w:eastAsia="it-IT"/>
        </w:rPr>
        <w:t>Per lei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p. 72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G. Pascoli, </w:t>
      </w:r>
      <w:r>
        <w:rPr>
          <w:rFonts w:ascii="Arial" w:eastAsia="Times New Roman" w:hAnsi="Arial" w:cs="Times New Roman"/>
          <w:i/>
          <w:szCs w:val="24"/>
          <w:lang w:eastAsia="it-IT"/>
        </w:rPr>
        <w:t xml:space="preserve">L’uccellino del freddo                                                                          </w:t>
      </w:r>
      <w:r>
        <w:rPr>
          <w:rFonts w:ascii="Arial" w:eastAsia="Times New Roman" w:hAnsi="Arial" w:cs="Times New Roman"/>
          <w:szCs w:val="24"/>
          <w:lang w:eastAsia="it-IT"/>
        </w:rPr>
        <w:t xml:space="preserve"> p. 99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G. Pascoli, </w:t>
      </w:r>
      <w:r>
        <w:rPr>
          <w:rFonts w:ascii="Arial" w:eastAsia="Times New Roman" w:hAnsi="Arial" w:cs="Times New Roman"/>
          <w:i/>
          <w:szCs w:val="24"/>
          <w:lang w:eastAsia="it-IT"/>
        </w:rPr>
        <w:t>La mia sera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p. 106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Gozzano, </w:t>
      </w:r>
      <w:r>
        <w:rPr>
          <w:rFonts w:ascii="Arial" w:eastAsia="Times New Roman" w:hAnsi="Arial" w:cs="Times New Roman"/>
          <w:i/>
          <w:szCs w:val="24"/>
          <w:lang w:eastAsia="it-IT"/>
        </w:rPr>
        <w:t xml:space="preserve">La differenza                </w:t>
      </w:r>
      <w:r>
        <w:rPr>
          <w:rFonts w:ascii="Arial" w:eastAsia="Times New Roman" w:hAnsi="Arial" w:cs="Times New Roman"/>
          <w:i/>
          <w:szCs w:val="24"/>
          <w:lang w:eastAsia="it-IT"/>
        </w:rPr>
        <w:t xml:space="preserve">                                                                     </w:t>
      </w:r>
      <w:r>
        <w:rPr>
          <w:rFonts w:ascii="Arial" w:eastAsia="Times New Roman" w:hAnsi="Arial" w:cs="Times New Roman"/>
          <w:szCs w:val="24"/>
          <w:lang w:eastAsia="it-IT"/>
        </w:rPr>
        <w:t>p. 130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Testi analizzati forniti in fotocopia: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Pascoli, </w:t>
      </w:r>
      <w:proofErr w:type="spellStart"/>
      <w:r>
        <w:rPr>
          <w:rFonts w:ascii="Arial" w:eastAsia="Times New Roman" w:hAnsi="Arial" w:cs="Times New Roman"/>
          <w:i/>
          <w:szCs w:val="24"/>
          <w:lang w:eastAsia="it-IT"/>
        </w:rPr>
        <w:t>Lavandare</w:t>
      </w:r>
      <w:proofErr w:type="spellEnd"/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Pascoli, </w:t>
      </w:r>
      <w:r>
        <w:rPr>
          <w:rFonts w:ascii="Arial" w:eastAsia="Times New Roman" w:hAnsi="Arial" w:cs="Times New Roman"/>
          <w:i/>
          <w:szCs w:val="24"/>
          <w:lang w:eastAsia="it-IT"/>
        </w:rPr>
        <w:t>Il tuono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Pascoli, </w:t>
      </w:r>
      <w:r>
        <w:rPr>
          <w:rFonts w:ascii="Arial" w:eastAsia="Times New Roman" w:hAnsi="Arial" w:cs="Times New Roman"/>
          <w:i/>
          <w:szCs w:val="24"/>
          <w:lang w:eastAsia="it-IT"/>
        </w:rPr>
        <w:t>Il lampo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Carducci, </w:t>
      </w:r>
      <w:r>
        <w:rPr>
          <w:rFonts w:ascii="Arial" w:eastAsia="Times New Roman" w:hAnsi="Arial" w:cs="Times New Roman"/>
          <w:i/>
          <w:szCs w:val="24"/>
          <w:lang w:eastAsia="it-IT"/>
        </w:rPr>
        <w:t>Traversando la Maremma toscana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i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G. Ungaretti, </w:t>
      </w:r>
      <w:r>
        <w:rPr>
          <w:rFonts w:ascii="Arial" w:eastAsia="Times New Roman" w:hAnsi="Arial" w:cs="Times New Roman"/>
          <w:i/>
          <w:szCs w:val="24"/>
          <w:lang w:eastAsia="it-IT"/>
        </w:rPr>
        <w:t>Sono una creatura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i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Percorso B: La poesia delle origini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Unità B1:</w:t>
      </w:r>
    </w:p>
    <w:p w:rsidR="00DE08E0" w:rsidRDefault="00AB1922">
      <w:pPr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 I mutamenti culturali: la nascita dei volgare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p. 147</w:t>
      </w:r>
    </w:p>
    <w:p w:rsidR="00DE08E0" w:rsidRDefault="00AB1922">
      <w:pPr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 La lirica provenzale, La nascita della lirica in Italia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p. 161</w:t>
      </w:r>
    </w:p>
    <w:p w:rsidR="00DE08E0" w:rsidRDefault="00AB1922">
      <w:pPr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 L’affermazione della lirica d’amore in Toscana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p. 162</w:t>
      </w:r>
    </w:p>
    <w:p w:rsidR="00DE08E0" w:rsidRDefault="00AB1922">
      <w:pPr>
        <w:numPr>
          <w:ilvl w:val="0"/>
          <w:numId w:val="1"/>
        </w:num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 Il francescanesimo e la </w:t>
      </w:r>
      <w:r>
        <w:rPr>
          <w:rFonts w:ascii="Arial" w:eastAsia="Times New Roman" w:hAnsi="Arial" w:cs="Times New Roman"/>
          <w:szCs w:val="24"/>
          <w:lang w:eastAsia="it-IT"/>
        </w:rPr>
        <w:t>poesia religiosa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p. 167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Testi analizzati: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Francesco d’Assisi, </w:t>
      </w:r>
      <w:r>
        <w:rPr>
          <w:rFonts w:ascii="Arial" w:eastAsia="Times New Roman" w:hAnsi="Arial" w:cs="Times New Roman"/>
          <w:i/>
          <w:szCs w:val="24"/>
          <w:lang w:eastAsia="it-IT"/>
        </w:rPr>
        <w:t>Cantico delle creature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p. 164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i/>
          <w:szCs w:val="24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i/>
          <w:szCs w:val="24"/>
          <w:lang w:eastAsia="it-IT"/>
        </w:rPr>
      </w:pPr>
    </w:p>
    <w:p w:rsidR="00DE08E0" w:rsidRDefault="00AB1922">
      <w:pPr>
        <w:spacing w:after="0" w:line="240" w:lineRule="auto"/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668655" cy="422910"/>
            <wp:effectExtent l="0" t="0" r="0" b="0"/>
            <wp:docPr id="2" name="Picture" descr="marchio ca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marchio can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E0" w:rsidRDefault="00AB1922">
      <w:pPr>
        <w:keepNext/>
        <w:spacing w:before="100" w:after="0" w:line="240" w:lineRule="auto"/>
        <w:jc w:val="center"/>
        <w:outlineLvl w:val="0"/>
        <w:rPr>
          <w:rFonts w:ascii="Arial" w:eastAsia="Times New Roman" w:hAnsi="Arial" w:cs="Times New Roman"/>
          <w:i/>
          <w:smallCaps/>
          <w:spacing w:val="100"/>
          <w:sz w:val="21"/>
          <w:szCs w:val="21"/>
          <w:lang w:eastAsia="it-IT"/>
        </w:rPr>
      </w:pPr>
      <w:r>
        <w:rPr>
          <w:rFonts w:ascii="Arial" w:eastAsia="Times New Roman" w:hAnsi="Arial" w:cs="Times New Roman"/>
          <w:i/>
          <w:smallCaps/>
          <w:spacing w:val="100"/>
          <w:sz w:val="21"/>
          <w:szCs w:val="21"/>
          <w:lang w:eastAsia="it-IT"/>
        </w:rPr>
        <w:t>Istituto di Istruzione Superiore</w:t>
      </w:r>
    </w:p>
    <w:p w:rsidR="00DE08E0" w:rsidRDefault="00AB1922">
      <w:pPr>
        <w:spacing w:before="60" w:after="0" w:line="240" w:lineRule="auto"/>
        <w:jc w:val="center"/>
        <w:rPr>
          <w:rFonts w:ascii="Arial" w:eastAsia="Times New Roman" w:hAnsi="Arial" w:cs="Times New Roman"/>
          <w:i/>
          <w:spacing w:val="100"/>
          <w:lang w:eastAsia="it-IT"/>
        </w:rPr>
      </w:pPr>
      <w:r>
        <w:rPr>
          <w:rFonts w:ascii="Arial" w:eastAsia="Times New Roman" w:hAnsi="Arial" w:cs="Times New Roman"/>
          <w:i/>
          <w:spacing w:val="100"/>
          <w:lang w:eastAsia="it-IT"/>
        </w:rPr>
        <w:t>“CONCETTO MARCHESI”</w:t>
      </w:r>
    </w:p>
    <w:p w:rsidR="00DE08E0" w:rsidRDefault="00DE08E0">
      <w:pPr>
        <w:spacing w:after="0" w:line="240" w:lineRule="auto"/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u w:val="single"/>
          <w:lang w:eastAsia="it-IT"/>
        </w:rPr>
        <w:t>GRAMMATICA: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ANALISI LOGICA DELLA FRASE SEMPLICE: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Potenziamento e completamento del percorso di </w:t>
      </w:r>
      <w:r>
        <w:rPr>
          <w:rFonts w:ascii="Arial" w:eastAsia="Times New Roman" w:hAnsi="Arial" w:cs="Times New Roman"/>
          <w:szCs w:val="24"/>
          <w:lang w:eastAsia="it-IT"/>
        </w:rPr>
        <w:t>conoscenza già intrapreso nel corso del precedente anno scolastico: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In particolare: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complementi predicativi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guida all’analisi logica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la funzione dei pronomi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it-IT"/>
        </w:rPr>
      </w:pPr>
      <w:r>
        <w:rPr>
          <w:rFonts w:ascii="Arial" w:eastAsia="Times New Roman" w:hAnsi="Arial" w:cs="Times New Roman"/>
          <w:sz w:val="24"/>
          <w:szCs w:val="24"/>
          <w:lang w:eastAsia="it-IT"/>
        </w:rPr>
        <w:t>ANALISI DEL PERIODO: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La frase complessa: struttura e caratteristiche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Proposizioni e metodo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Coordinazione e subordinazione 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u w:val="single"/>
          <w:lang w:eastAsia="it-IT"/>
        </w:rPr>
        <w:t>EPICA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Odissea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pp. 156-161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Letture dall’Odissea: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Il proemio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pp. 167-168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i/>
          <w:szCs w:val="24"/>
          <w:lang w:eastAsia="it-IT"/>
        </w:rPr>
        <w:t>Penelope e Telemaco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  <w:t xml:space="preserve">            </w:t>
      </w:r>
      <w:r>
        <w:rPr>
          <w:rFonts w:ascii="Arial" w:eastAsia="Times New Roman" w:hAnsi="Arial" w:cs="Times New Roman"/>
          <w:szCs w:val="24"/>
          <w:lang w:eastAsia="it-IT"/>
        </w:rPr>
        <w:t>pp. 171-172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Odisseo e Calipso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pp. 175-176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Polifemo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pp. 178-184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La maga Circe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pp. 187-189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Le Sirene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pp. 191-193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Il naufragio: Scilla e Cariddi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pp. 195-196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i/>
          <w:szCs w:val="24"/>
          <w:lang w:eastAsia="it-IT"/>
        </w:rPr>
        <w:t>La strage dei pretendenti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pp. 205-207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L’epica romana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 xml:space="preserve">La civiltà latina                               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pp. 226-227</w:t>
      </w: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Virgilio</w:t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  <w:t>pp. 228-229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i/>
          <w:szCs w:val="24"/>
          <w:lang w:eastAsia="it-IT"/>
        </w:rPr>
        <w:t>Eneide</w:t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i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>pp. 234-239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hAnsi="Arial"/>
        </w:rPr>
        <w:t>Il proemio (</w:t>
      </w:r>
      <w:proofErr w:type="spellStart"/>
      <w:r>
        <w:rPr>
          <w:rFonts w:ascii="Arial" w:hAnsi="Arial"/>
        </w:rPr>
        <w:t>pp</w:t>
      </w:r>
      <w:proofErr w:type="spellEnd"/>
      <w:r>
        <w:rPr>
          <w:rFonts w:ascii="Arial" w:hAnsi="Arial"/>
        </w:rPr>
        <w:t xml:space="preserve"> 245-246 con</w:t>
      </w:r>
      <w:r>
        <w:rPr>
          <w:rFonts w:ascii="Arial" w:hAnsi="Arial"/>
        </w:rPr>
        <w:t xml:space="preserve"> scheda di lettura p 248); Laocoonte: solo introduzione (p 254 con scheda di lettura p 256); Polidoro: solo introduzione (p 261 con “il tema della metamorfosi: Virgilio e Dante” p 265);  </w:t>
      </w:r>
      <w:proofErr w:type="spellStart"/>
      <w:r>
        <w:rPr>
          <w:rFonts w:ascii="Arial" w:hAnsi="Arial"/>
        </w:rPr>
        <w:t>Didone</w:t>
      </w:r>
      <w:proofErr w:type="spellEnd"/>
      <w:r>
        <w:rPr>
          <w:rFonts w:ascii="Arial" w:hAnsi="Arial"/>
        </w:rPr>
        <w:t xml:space="preserve"> innamorata (</w:t>
      </w:r>
      <w:proofErr w:type="spellStart"/>
      <w:r>
        <w:rPr>
          <w:rFonts w:ascii="Arial" w:hAnsi="Arial"/>
        </w:rPr>
        <w:t>pp</w:t>
      </w:r>
      <w:proofErr w:type="spellEnd"/>
      <w:r>
        <w:rPr>
          <w:rFonts w:ascii="Arial" w:hAnsi="Arial"/>
        </w:rPr>
        <w:t xml:space="preserve"> 269-270);  nell'aldilà Enea incontra Caronte: s</w:t>
      </w:r>
      <w:r>
        <w:rPr>
          <w:rFonts w:ascii="Arial" w:hAnsi="Arial"/>
        </w:rPr>
        <w:t xml:space="preserve">olo scheda di lettura p 278; la morte di Turno: solo scheda di lettura p 299; La maledizione di </w:t>
      </w:r>
      <w:proofErr w:type="spellStart"/>
      <w:r>
        <w:rPr>
          <w:rFonts w:ascii="Arial" w:hAnsi="Arial"/>
        </w:rPr>
        <w:t>Didone</w:t>
      </w:r>
      <w:proofErr w:type="spellEnd"/>
      <w:r>
        <w:rPr>
          <w:rFonts w:ascii="Arial" w:hAnsi="Arial"/>
        </w:rPr>
        <w:t xml:space="preserve"> (</w:t>
      </w:r>
      <w:proofErr w:type="spellStart"/>
      <w:r>
        <w:rPr>
          <w:rFonts w:ascii="Arial" w:hAnsi="Arial"/>
        </w:rPr>
        <w:t>pp</w:t>
      </w:r>
      <w:proofErr w:type="spellEnd"/>
      <w:r>
        <w:rPr>
          <w:rFonts w:ascii="Arial" w:hAnsi="Arial"/>
        </w:rPr>
        <w:t xml:space="preserve"> 300-302).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  <w:r>
        <w:rPr>
          <w:rFonts w:ascii="Arial" w:eastAsia="Times New Roman" w:hAnsi="Arial" w:cs="Times New Roman"/>
          <w:szCs w:val="24"/>
          <w:lang w:eastAsia="it-IT"/>
        </w:rPr>
        <w:tab/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u w:val="single"/>
          <w:lang w:eastAsia="it-IT"/>
        </w:rPr>
        <w:t>COMPRENDERE E SCRIVERE TESTI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AB1922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  <w:r>
        <w:rPr>
          <w:rFonts w:ascii="Arial" w:eastAsia="Times New Roman" w:hAnsi="Arial" w:cs="Times New Roman"/>
          <w:szCs w:val="24"/>
          <w:lang w:eastAsia="it-IT"/>
        </w:rPr>
        <w:t>Il testo argomentativo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it-IT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668655" cy="422910"/>
            <wp:effectExtent l="0" t="0" r="0" b="0"/>
            <wp:docPr id="3" name="Picture" descr="marchio ca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marchio canc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42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E0" w:rsidRDefault="00AB1922">
      <w:pPr>
        <w:keepNext/>
        <w:spacing w:before="100" w:after="0" w:line="240" w:lineRule="auto"/>
        <w:jc w:val="center"/>
        <w:outlineLvl w:val="0"/>
        <w:rPr>
          <w:rFonts w:ascii="Arial" w:eastAsia="Times New Roman" w:hAnsi="Arial" w:cs="Times New Roman"/>
          <w:i/>
          <w:smallCaps/>
          <w:spacing w:val="100"/>
          <w:sz w:val="21"/>
          <w:szCs w:val="21"/>
          <w:lang w:eastAsia="it-IT"/>
        </w:rPr>
      </w:pPr>
      <w:r>
        <w:rPr>
          <w:rFonts w:ascii="Arial" w:eastAsia="Times New Roman" w:hAnsi="Arial" w:cs="Times New Roman"/>
          <w:i/>
          <w:smallCaps/>
          <w:spacing w:val="100"/>
          <w:sz w:val="21"/>
          <w:szCs w:val="21"/>
          <w:lang w:eastAsia="it-IT"/>
        </w:rPr>
        <w:t>Istituto di Istruzione Superiore</w:t>
      </w:r>
    </w:p>
    <w:p w:rsidR="00DE08E0" w:rsidRDefault="00AB1922">
      <w:pPr>
        <w:spacing w:before="60" w:after="0" w:line="240" w:lineRule="auto"/>
        <w:jc w:val="center"/>
        <w:rPr>
          <w:rFonts w:ascii="Arial" w:eastAsia="Times New Roman" w:hAnsi="Arial" w:cs="Times New Roman"/>
          <w:i/>
          <w:spacing w:val="100"/>
          <w:lang w:eastAsia="it-IT"/>
        </w:rPr>
      </w:pPr>
      <w:r>
        <w:rPr>
          <w:rFonts w:ascii="Arial" w:eastAsia="Times New Roman" w:hAnsi="Arial" w:cs="Times New Roman"/>
          <w:i/>
          <w:spacing w:val="100"/>
          <w:lang w:eastAsia="it-IT"/>
        </w:rPr>
        <w:t>“CONCETTO MARCHESI”</w:t>
      </w:r>
    </w:p>
    <w:p w:rsidR="00DE08E0" w:rsidRDefault="00DE08E0">
      <w:pPr>
        <w:spacing w:before="60" w:after="0" w:line="240" w:lineRule="auto"/>
        <w:jc w:val="center"/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u w:val="single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u w:val="single"/>
          <w:lang w:eastAsia="it-IT"/>
        </w:rPr>
        <w:t>I PROMESSI SPOSI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Notizie sull’autore</w:t>
      </w: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Introduzione al romanzo</w:t>
      </w:r>
    </w:p>
    <w:p w:rsidR="00DE08E0" w:rsidRDefault="00AB1922">
      <w:pPr>
        <w:spacing w:after="0" w:line="240" w:lineRule="auto"/>
        <w:jc w:val="both"/>
      </w:pPr>
      <w:r>
        <w:rPr>
          <w:rFonts w:ascii="Arial" w:eastAsia="Times New Roman" w:hAnsi="Arial" w:cs="Times New Roman"/>
          <w:szCs w:val="24"/>
          <w:lang w:eastAsia="it-IT"/>
        </w:rPr>
        <w:t>Conoscenza generale dell’opera con lettura dei seguenti capitoli (con riassunto di quelli non letti):</w:t>
      </w:r>
    </w:p>
    <w:p w:rsidR="00DE08E0" w:rsidRDefault="00AB1922">
      <w:pPr>
        <w:spacing w:after="0" w:line="240" w:lineRule="auto"/>
        <w:jc w:val="both"/>
      </w:pPr>
      <w:r>
        <w:rPr>
          <w:rFonts w:ascii="Arial" w:eastAsia="Times New Roman" w:hAnsi="Arial" w:cs="Times New Roman"/>
          <w:szCs w:val="24"/>
          <w:lang w:eastAsia="it-IT"/>
        </w:rPr>
        <w:t>dall’ I al X;  XI parte finale (da: “La strada era deserta…”); XIII e XIV, XVI parte iniziale (fino a: “...e </w:t>
      </w:r>
      <w:r>
        <w:rPr>
          <w:rFonts w:ascii="Arial" w:eastAsia="Times New Roman" w:hAnsi="Arial" w:cs="Times New Roman"/>
          <w:szCs w:val="24"/>
          <w:lang w:eastAsia="it-IT"/>
        </w:rPr>
        <w:t xml:space="preserve"> camminò un pezzo senza prima di voltarsi neppure indietro.”); XX; XXI; XXIII; XXXIII; XXXIV; XXXV.</w:t>
      </w:r>
    </w:p>
    <w:p w:rsidR="00DE08E0" w:rsidRDefault="00DE08E0">
      <w:pPr>
        <w:spacing w:after="0" w:line="240" w:lineRule="auto"/>
        <w:jc w:val="both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Padova, 5/6/2016</w:t>
      </w:r>
    </w:p>
    <w:p w:rsidR="00DE08E0" w:rsidRDefault="00DE08E0">
      <w:pPr>
        <w:spacing w:after="0" w:line="240" w:lineRule="auto"/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>I RAPPRESENTANTI DEGLI STUDENTI                                          IL DOCENTE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AB1922">
      <w:pPr>
        <w:spacing w:after="0" w:line="240" w:lineRule="auto"/>
      </w:pPr>
      <w:r>
        <w:rPr>
          <w:rFonts w:ascii="Arial" w:eastAsia="Times New Roman" w:hAnsi="Arial" w:cs="Times New Roman"/>
          <w:szCs w:val="24"/>
          <w:lang w:eastAsia="it-IT"/>
        </w:rPr>
        <w:t xml:space="preserve">                                                 </w:t>
      </w:r>
      <w:r>
        <w:rPr>
          <w:rFonts w:ascii="Arial" w:eastAsia="Times New Roman" w:hAnsi="Arial" w:cs="Times New Roman"/>
          <w:szCs w:val="24"/>
          <w:lang w:eastAsia="it-IT"/>
        </w:rPr>
        <w:t xml:space="preserve">                                                      </w:t>
      </w:r>
      <w:r>
        <w:rPr>
          <w:rFonts w:ascii="Vijaya" w:eastAsia="Times New Roman" w:hAnsi="Vijaya" w:cs="Vijaya"/>
          <w:sz w:val="36"/>
          <w:szCs w:val="36"/>
          <w:lang w:eastAsia="it-IT"/>
        </w:rPr>
        <w:t>Giovanna Maraggia</w:t>
      </w: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DE08E0">
      <w:pPr>
        <w:spacing w:after="0" w:line="240" w:lineRule="auto"/>
        <w:rPr>
          <w:rFonts w:ascii="Arial" w:eastAsia="Times New Roman" w:hAnsi="Arial" w:cs="Times New Roman"/>
          <w:szCs w:val="24"/>
          <w:lang w:eastAsia="it-IT"/>
        </w:rPr>
      </w:pPr>
    </w:p>
    <w:p w:rsidR="00DE08E0" w:rsidRDefault="00DE08E0"/>
    <w:sectPr w:rsidR="00DE08E0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6325"/>
    <w:multiLevelType w:val="multilevel"/>
    <w:tmpl w:val="910629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1F466B"/>
    <w:multiLevelType w:val="multilevel"/>
    <w:tmpl w:val="7466E306"/>
    <w:lvl w:ilvl="0">
      <w:start w:val="3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8E0"/>
    <w:rsid w:val="00AB1922"/>
    <w:rsid w:val="00DE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2068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06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2068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paragraph" w:styleId="Titolo">
    <w:name w:val="Title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2068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2015-06-28T08:32:00Z</cp:lastPrinted>
  <dcterms:created xsi:type="dcterms:W3CDTF">2015-06-26T00:03:00Z</dcterms:created>
  <dcterms:modified xsi:type="dcterms:W3CDTF">2016-06-24T23:19:00Z</dcterms:modified>
  <dc:language>it-IT</dc:language>
</cp:coreProperties>
</file>