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06E8" w:rsidRPr="00D206E8" w:rsidRDefault="00D206E8" w:rsidP="00CE2987">
      <w:pPr>
        <w:spacing w:after="120"/>
        <w:jc w:val="center"/>
        <w:rPr>
          <w:b/>
          <w:bCs/>
          <w:smallCaps/>
          <w:sz w:val="28"/>
          <w:szCs w:val="28"/>
        </w:rPr>
      </w:pPr>
      <w:r w:rsidRPr="00D206E8">
        <w:rPr>
          <w:b/>
          <w:bCs/>
          <w:smallCaps/>
          <w:sz w:val="28"/>
          <w:szCs w:val="28"/>
        </w:rPr>
        <w:t xml:space="preserve">Programma di </w:t>
      </w:r>
      <w:r w:rsidR="00D500A7">
        <w:rPr>
          <w:b/>
          <w:bCs/>
          <w:smallCaps/>
          <w:sz w:val="28"/>
          <w:szCs w:val="28"/>
        </w:rPr>
        <w:t>Matematica</w:t>
      </w:r>
    </w:p>
    <w:p w:rsidR="00D206E8" w:rsidRPr="00D206E8" w:rsidRDefault="00D206E8" w:rsidP="00CE2987">
      <w:pPr>
        <w:jc w:val="both"/>
      </w:pPr>
    </w:p>
    <w:p w:rsidR="00D206E8" w:rsidRPr="00ED788E" w:rsidRDefault="00D206E8" w:rsidP="00CE2987">
      <w:pPr>
        <w:jc w:val="both"/>
      </w:pPr>
      <w:r w:rsidRPr="00ED788E">
        <w:t>CLASSE</w:t>
      </w:r>
      <w:r w:rsidRPr="00722FC6">
        <w:rPr>
          <w:b/>
          <w:bCs/>
        </w:rPr>
        <w:tab/>
      </w:r>
      <w:r w:rsidR="00D500A7">
        <w:rPr>
          <w:b/>
          <w:bCs/>
        </w:rPr>
        <w:t>2AC</w:t>
      </w:r>
      <w:r w:rsidRPr="00722FC6">
        <w:rPr>
          <w:b/>
          <w:bCs/>
        </w:rPr>
        <w:tab/>
      </w:r>
      <w:r w:rsidRPr="00722FC6">
        <w:tab/>
      </w:r>
      <w:r w:rsidRPr="00722FC6">
        <w:tab/>
      </w:r>
      <w:r w:rsidRPr="00722FC6">
        <w:tab/>
      </w:r>
      <w:r w:rsidRPr="00722FC6">
        <w:tab/>
      </w:r>
      <w:r w:rsidRPr="00722FC6">
        <w:tab/>
      </w:r>
      <w:r w:rsidRPr="00722FC6">
        <w:tab/>
      </w:r>
      <w:proofErr w:type="spellStart"/>
      <w:r>
        <w:t>a.s.</w:t>
      </w:r>
      <w:proofErr w:type="spellEnd"/>
      <w:r>
        <w:t xml:space="preserve"> </w:t>
      </w:r>
      <w:r w:rsidRPr="00D206E8">
        <w:rPr>
          <w:b/>
          <w:bCs/>
        </w:rPr>
        <w:t>20</w:t>
      </w:r>
      <w:r w:rsidR="00D500A7">
        <w:rPr>
          <w:b/>
          <w:bCs/>
        </w:rPr>
        <w:t>16</w:t>
      </w:r>
      <w:r w:rsidRPr="00D206E8">
        <w:rPr>
          <w:b/>
          <w:bCs/>
        </w:rPr>
        <w:t>/</w:t>
      </w:r>
      <w:r w:rsidR="00D500A7">
        <w:rPr>
          <w:b/>
          <w:bCs/>
        </w:rPr>
        <w:t>2017</w:t>
      </w:r>
    </w:p>
    <w:p w:rsidR="00D206E8" w:rsidRPr="00D206E8" w:rsidRDefault="00D206E8" w:rsidP="00CE2987">
      <w:pPr>
        <w:jc w:val="both"/>
      </w:pPr>
    </w:p>
    <w:p w:rsidR="00D206E8" w:rsidRPr="00722FC6" w:rsidRDefault="00D206E8" w:rsidP="00CE2987">
      <w:pPr>
        <w:jc w:val="both"/>
        <w:rPr>
          <w:b/>
          <w:bCs/>
        </w:rPr>
      </w:pPr>
      <w:r w:rsidRPr="00ED788E">
        <w:t>prof.</w:t>
      </w:r>
      <w:r w:rsidRPr="00722FC6">
        <w:rPr>
          <w:b/>
          <w:bCs/>
        </w:rPr>
        <w:t xml:space="preserve"> </w:t>
      </w:r>
      <w:r w:rsidR="00D500A7">
        <w:rPr>
          <w:b/>
          <w:bCs/>
        </w:rPr>
        <w:t>ANDREA CRAVOTTA</w:t>
      </w:r>
    </w:p>
    <w:p w:rsidR="00FF71F9" w:rsidRDefault="00FF71F9" w:rsidP="00CE2987">
      <w:pPr>
        <w:jc w:val="both"/>
      </w:pPr>
    </w:p>
    <w:p w:rsidR="00D206E8" w:rsidRDefault="00D206E8" w:rsidP="00CE2987">
      <w:pPr>
        <w:jc w:val="both"/>
        <w:rPr>
          <w:i/>
        </w:rPr>
      </w:pPr>
      <w:r>
        <w:t>TESTO</w:t>
      </w:r>
      <w:r w:rsidR="00634E4A">
        <w:t>:</w:t>
      </w:r>
      <w:r>
        <w:t xml:space="preserve"> </w:t>
      </w:r>
      <w:r w:rsidR="00D500A7">
        <w:tab/>
      </w:r>
      <w:proofErr w:type="spellStart"/>
      <w:r w:rsidR="00D500A7">
        <w:t>Dodero</w:t>
      </w:r>
      <w:proofErr w:type="spellEnd"/>
      <w:r w:rsidR="00D500A7">
        <w:t xml:space="preserve">, Baroncini, Manfredi, </w:t>
      </w:r>
      <w:r w:rsidR="00D500A7" w:rsidRPr="00D500A7">
        <w:rPr>
          <w:i/>
        </w:rPr>
        <w:t>LINEAMENTI.MATH AZZURRO / ALGEBRA 1</w:t>
      </w:r>
    </w:p>
    <w:p w:rsidR="00D500A7" w:rsidRDefault="00D500A7" w:rsidP="00CE2987">
      <w:pPr>
        <w:jc w:val="both"/>
        <w:rPr>
          <w:i/>
        </w:rPr>
      </w:pPr>
      <w:r>
        <w:rPr>
          <w:i/>
        </w:rPr>
        <w:tab/>
      </w:r>
      <w:r>
        <w:rPr>
          <w:i/>
        </w:rPr>
        <w:tab/>
      </w:r>
      <w:proofErr w:type="spellStart"/>
      <w:r>
        <w:t>Dodero</w:t>
      </w:r>
      <w:proofErr w:type="spellEnd"/>
      <w:r>
        <w:t xml:space="preserve">, Baroncini, Manfredi, </w:t>
      </w:r>
      <w:r w:rsidRPr="00D500A7">
        <w:rPr>
          <w:i/>
        </w:rPr>
        <w:t>LIN</w:t>
      </w:r>
      <w:r>
        <w:rPr>
          <w:i/>
        </w:rPr>
        <w:t>EAMENTI.MATH AZZURRO / ALGEBRA 2</w:t>
      </w:r>
    </w:p>
    <w:p w:rsidR="00D500A7" w:rsidRPr="00D500A7" w:rsidRDefault="00D500A7" w:rsidP="00CE2987">
      <w:pPr>
        <w:ind w:left="1418"/>
        <w:jc w:val="both"/>
        <w:rPr>
          <w:i/>
        </w:rPr>
      </w:pPr>
      <w:proofErr w:type="spellStart"/>
      <w:r>
        <w:t>Dodero</w:t>
      </w:r>
      <w:proofErr w:type="spellEnd"/>
      <w:r>
        <w:t xml:space="preserve">, Baroncini, Manfredi, </w:t>
      </w:r>
      <w:r w:rsidRPr="00D500A7">
        <w:rPr>
          <w:i/>
        </w:rPr>
        <w:t xml:space="preserve">LINEAMENTI.MATH AZZURRO / </w:t>
      </w:r>
      <w:r>
        <w:rPr>
          <w:i/>
        </w:rPr>
        <w:t>GEOMETRIA NEL PIANO EUCLIDEO</w:t>
      </w:r>
    </w:p>
    <w:p w:rsidR="00D500A7" w:rsidRPr="00A01186" w:rsidRDefault="00D500A7" w:rsidP="00CE2987">
      <w:pPr>
        <w:spacing w:after="120"/>
        <w:jc w:val="both"/>
        <w:rPr>
          <w:rFonts w:cs="Arial"/>
          <w:b/>
        </w:rPr>
      </w:pPr>
    </w:p>
    <w:p w:rsidR="00D500A7" w:rsidRPr="000A43CF" w:rsidRDefault="000A43CF" w:rsidP="00CE2987">
      <w:pPr>
        <w:spacing w:after="120"/>
        <w:jc w:val="both"/>
        <w:rPr>
          <w:rFonts w:cs="Arial"/>
          <w:sz w:val="24"/>
        </w:rPr>
      </w:pPr>
      <w:r>
        <w:rPr>
          <w:rFonts w:cs="Arial"/>
          <w:sz w:val="24"/>
        </w:rPr>
        <w:t>[</w:t>
      </w:r>
      <w:r w:rsidR="00D500A7" w:rsidRPr="000A43CF">
        <w:rPr>
          <w:rFonts w:cs="Arial"/>
          <w:sz w:val="24"/>
        </w:rPr>
        <w:t>GEOMETRIA</w:t>
      </w:r>
      <w:r>
        <w:rPr>
          <w:rFonts w:cs="Arial"/>
          <w:sz w:val="24"/>
        </w:rPr>
        <w:t>]</w:t>
      </w:r>
    </w:p>
    <w:p w:rsidR="00A01186" w:rsidRDefault="00A01186" w:rsidP="00CE2987">
      <w:pPr>
        <w:spacing w:after="120"/>
        <w:jc w:val="both"/>
        <w:rPr>
          <w:rFonts w:cs="Arial"/>
          <w:szCs w:val="22"/>
        </w:rPr>
      </w:pPr>
      <w:r w:rsidRPr="000A43CF">
        <w:rPr>
          <w:rFonts w:cs="Arial"/>
          <w:b/>
          <w:i/>
          <w:szCs w:val="22"/>
        </w:rPr>
        <w:t>TRIANGOLI – RIPASSO</w:t>
      </w:r>
      <w:r w:rsidRPr="00714BB3">
        <w:rPr>
          <w:rFonts w:cs="Arial"/>
          <w:szCs w:val="22"/>
        </w:rPr>
        <w:t>: definizione e nomenclatura; teoremi di congruenza dei triangoli e teorema triangoli isosceli (congruenza ang</w:t>
      </w:r>
      <w:r>
        <w:rPr>
          <w:rFonts w:cs="Arial"/>
          <w:szCs w:val="22"/>
        </w:rPr>
        <w:t>oli alla base)</w:t>
      </w:r>
      <w:r w:rsidRPr="00714BB3">
        <w:rPr>
          <w:rFonts w:cs="Arial"/>
          <w:szCs w:val="22"/>
        </w:rPr>
        <w:t>; esercizi di dimostrazione su congruenza triangoli</w:t>
      </w:r>
      <w:r>
        <w:rPr>
          <w:rFonts w:cs="Arial"/>
          <w:szCs w:val="22"/>
        </w:rPr>
        <w:t xml:space="preserve">. </w:t>
      </w:r>
    </w:p>
    <w:p w:rsidR="00A01186" w:rsidRDefault="000A43CF" w:rsidP="00CE2987">
      <w:pPr>
        <w:spacing w:after="120"/>
        <w:jc w:val="both"/>
        <w:rPr>
          <w:rFonts w:cs="Arial"/>
          <w:szCs w:val="22"/>
        </w:rPr>
      </w:pPr>
      <w:r w:rsidRPr="000A43CF">
        <w:rPr>
          <w:rFonts w:cs="Arial"/>
          <w:b/>
          <w:i/>
          <w:szCs w:val="22"/>
        </w:rPr>
        <w:t>PARALLELISMO E PERPENDICOLARITÀ</w:t>
      </w:r>
      <w:r>
        <w:rPr>
          <w:rFonts w:cs="Arial"/>
          <w:szCs w:val="22"/>
        </w:rPr>
        <w:t xml:space="preserve">: </w:t>
      </w:r>
      <w:r w:rsidR="00A01186">
        <w:rPr>
          <w:rFonts w:cs="Arial"/>
          <w:szCs w:val="22"/>
        </w:rPr>
        <w:t xml:space="preserve">concetto di perpendicolarità tra rette; teoremi di esistenza e </w:t>
      </w:r>
      <w:r w:rsidR="00A01186" w:rsidRPr="005F63F1">
        <w:rPr>
          <w:rFonts w:cs="Arial"/>
          <w:szCs w:val="22"/>
        </w:rPr>
        <w:t>unicità della perpendicolare</w:t>
      </w:r>
      <w:r w:rsidR="00A01186">
        <w:rPr>
          <w:rFonts w:cs="Arial"/>
          <w:szCs w:val="22"/>
        </w:rPr>
        <w:t xml:space="preserve"> (con </w:t>
      </w:r>
      <w:proofErr w:type="spellStart"/>
      <w:r w:rsidR="00A01186">
        <w:rPr>
          <w:rFonts w:cs="Arial"/>
          <w:szCs w:val="22"/>
        </w:rPr>
        <w:t>dim</w:t>
      </w:r>
      <w:proofErr w:type="spellEnd"/>
      <w:r w:rsidR="00A01186">
        <w:rPr>
          <w:rFonts w:cs="Arial"/>
          <w:szCs w:val="22"/>
        </w:rPr>
        <w:t>.)</w:t>
      </w:r>
      <w:r w:rsidR="00A01186" w:rsidRPr="005F63F1">
        <w:rPr>
          <w:rFonts w:cs="Arial"/>
          <w:szCs w:val="22"/>
        </w:rPr>
        <w:t xml:space="preserve">; coincidenza di mediana, altezza e bisettrice in un triangolo isoscele (con </w:t>
      </w:r>
      <w:proofErr w:type="spellStart"/>
      <w:r w:rsidR="00A01186" w:rsidRPr="005F63F1">
        <w:rPr>
          <w:rFonts w:cs="Arial"/>
          <w:szCs w:val="22"/>
        </w:rPr>
        <w:t>dim</w:t>
      </w:r>
      <w:proofErr w:type="spellEnd"/>
      <w:r w:rsidR="00A01186" w:rsidRPr="005F63F1">
        <w:rPr>
          <w:rFonts w:cs="Arial"/>
          <w:szCs w:val="22"/>
        </w:rPr>
        <w:t>.)</w:t>
      </w:r>
      <w:r w:rsidR="00A01186">
        <w:rPr>
          <w:rFonts w:cs="Arial"/>
          <w:szCs w:val="22"/>
        </w:rPr>
        <w:t>; triangoli rettangoli e nomenclatura relativa</w:t>
      </w:r>
      <w:r w:rsidR="00A01186" w:rsidRPr="005F63F1">
        <w:rPr>
          <w:rFonts w:cs="Arial"/>
          <w:szCs w:val="22"/>
        </w:rPr>
        <w:t>; criteri di congruenza dei triangoli rettangoli</w:t>
      </w:r>
      <w:r w:rsidR="00A01186">
        <w:rPr>
          <w:rFonts w:cs="Arial"/>
          <w:szCs w:val="22"/>
        </w:rPr>
        <w:t xml:space="preserve">; </w:t>
      </w:r>
      <w:r w:rsidR="00A01186" w:rsidRPr="005F63F1">
        <w:rPr>
          <w:rFonts w:cs="Arial"/>
          <w:szCs w:val="22"/>
        </w:rPr>
        <w:t xml:space="preserve">concetto di parallelismo </w:t>
      </w:r>
      <w:r w:rsidR="00A01186">
        <w:rPr>
          <w:rFonts w:cs="Arial"/>
          <w:szCs w:val="22"/>
        </w:rPr>
        <w:t>tra rette</w:t>
      </w:r>
      <w:r w:rsidR="00A01186" w:rsidRPr="005F63F1">
        <w:rPr>
          <w:rFonts w:cs="Arial"/>
          <w:szCs w:val="22"/>
        </w:rPr>
        <w:t>;</w:t>
      </w:r>
      <w:r w:rsidR="00A01186">
        <w:rPr>
          <w:rFonts w:cs="Arial"/>
          <w:szCs w:val="22"/>
        </w:rPr>
        <w:t xml:space="preserve"> teorema di esistenza della parallela (con </w:t>
      </w:r>
      <w:proofErr w:type="spellStart"/>
      <w:r w:rsidR="00A01186">
        <w:rPr>
          <w:rFonts w:cs="Arial"/>
          <w:szCs w:val="22"/>
        </w:rPr>
        <w:t>dim</w:t>
      </w:r>
      <w:proofErr w:type="spellEnd"/>
      <w:r w:rsidR="00A01186">
        <w:rPr>
          <w:rFonts w:cs="Arial"/>
          <w:szCs w:val="22"/>
        </w:rPr>
        <w:t>.); postulato di Euclide sull’unicità della parallela; rette tagliate da una trasversale e nomenclatura</w:t>
      </w:r>
      <w:r w:rsidR="00A01186" w:rsidRPr="005F63F1">
        <w:rPr>
          <w:rFonts w:cs="Arial"/>
          <w:szCs w:val="22"/>
        </w:rPr>
        <w:t xml:space="preserve"> </w:t>
      </w:r>
      <w:r w:rsidR="00A01186">
        <w:rPr>
          <w:rFonts w:cs="Arial"/>
          <w:szCs w:val="22"/>
        </w:rPr>
        <w:t xml:space="preserve">relativa; </w:t>
      </w:r>
      <w:r w:rsidR="00A01186" w:rsidRPr="005F63F1">
        <w:rPr>
          <w:rFonts w:cs="Arial"/>
          <w:szCs w:val="22"/>
        </w:rPr>
        <w:t xml:space="preserve">criteri di parallelismo tra rette tagliate da una trasversale; </w:t>
      </w:r>
      <w:r w:rsidR="00A01186">
        <w:rPr>
          <w:rFonts w:cs="Arial"/>
          <w:szCs w:val="22"/>
        </w:rPr>
        <w:t xml:space="preserve">approfondimento sui concetti di condizione necessaria e condizione sufficiente; </w:t>
      </w:r>
      <w:r w:rsidR="00A01186" w:rsidRPr="005F63F1">
        <w:rPr>
          <w:rFonts w:cs="Arial"/>
          <w:szCs w:val="22"/>
        </w:rPr>
        <w:t>teorema sulla somma degli angoli int</w:t>
      </w:r>
      <w:r w:rsidR="00A01186">
        <w:rPr>
          <w:rFonts w:cs="Arial"/>
          <w:szCs w:val="22"/>
        </w:rPr>
        <w:t xml:space="preserve">erni di un triangolo (con </w:t>
      </w:r>
      <w:proofErr w:type="spellStart"/>
      <w:r w:rsidR="00A01186">
        <w:rPr>
          <w:rFonts w:cs="Arial"/>
          <w:szCs w:val="22"/>
        </w:rPr>
        <w:t>dim</w:t>
      </w:r>
      <w:proofErr w:type="spellEnd"/>
      <w:r w:rsidR="00A01186">
        <w:rPr>
          <w:rFonts w:cs="Arial"/>
          <w:szCs w:val="22"/>
        </w:rPr>
        <w:t>.).</w:t>
      </w:r>
    </w:p>
    <w:p w:rsidR="009309D7" w:rsidRDefault="000A43CF" w:rsidP="00CE2987">
      <w:pPr>
        <w:spacing w:after="120"/>
        <w:jc w:val="both"/>
        <w:rPr>
          <w:rFonts w:cs="Arial"/>
          <w:szCs w:val="22"/>
        </w:rPr>
      </w:pPr>
      <w:r w:rsidRPr="000A43CF">
        <w:rPr>
          <w:rFonts w:cs="Arial"/>
          <w:b/>
          <w:i/>
          <w:szCs w:val="22"/>
        </w:rPr>
        <w:t>POLIGONI E QUADRILATERI</w:t>
      </w:r>
      <w:r>
        <w:rPr>
          <w:rFonts w:cs="Arial"/>
          <w:szCs w:val="22"/>
        </w:rPr>
        <w:t xml:space="preserve">: </w:t>
      </w:r>
      <w:r w:rsidR="00A01186" w:rsidRPr="00945CEB">
        <w:rPr>
          <w:rFonts w:cs="Arial"/>
          <w:szCs w:val="22"/>
        </w:rPr>
        <w:t xml:space="preserve">definizione di poligono; quadrilateri </w:t>
      </w:r>
      <w:r>
        <w:rPr>
          <w:rFonts w:cs="Arial"/>
          <w:szCs w:val="22"/>
        </w:rPr>
        <w:t>e loro classificazione (</w:t>
      </w:r>
      <w:r w:rsidR="00A01186" w:rsidRPr="00945CEB">
        <w:rPr>
          <w:rFonts w:cs="Arial"/>
          <w:szCs w:val="22"/>
        </w:rPr>
        <w:t>parallelogrammi, rombi, rettangoli, quadrati e loro proprietà distintive)</w:t>
      </w:r>
      <w:r w:rsidR="00871777">
        <w:rPr>
          <w:rFonts w:cs="Arial"/>
          <w:szCs w:val="22"/>
        </w:rPr>
        <w:t>.</w:t>
      </w:r>
    </w:p>
    <w:p w:rsidR="00871777" w:rsidRDefault="009309D7" w:rsidP="00CE2987">
      <w:pPr>
        <w:spacing w:after="120"/>
        <w:jc w:val="both"/>
        <w:rPr>
          <w:rFonts w:cs="Arial"/>
          <w:szCs w:val="22"/>
        </w:rPr>
      </w:pPr>
      <w:r>
        <w:rPr>
          <w:rFonts w:cs="Arial"/>
          <w:b/>
          <w:i/>
          <w:szCs w:val="22"/>
        </w:rPr>
        <w:t>TALETE, EUCLIDE, PITAGORA</w:t>
      </w:r>
      <w:r>
        <w:rPr>
          <w:rFonts w:cs="Arial"/>
          <w:szCs w:val="22"/>
        </w:rPr>
        <w:t xml:space="preserve">: teorema delle parallele (piccolo teorema di Talete) (con </w:t>
      </w:r>
      <w:proofErr w:type="spellStart"/>
      <w:r>
        <w:rPr>
          <w:rFonts w:cs="Arial"/>
          <w:szCs w:val="22"/>
        </w:rPr>
        <w:t>dim</w:t>
      </w:r>
      <w:proofErr w:type="spellEnd"/>
      <w:r>
        <w:rPr>
          <w:rFonts w:cs="Arial"/>
          <w:szCs w:val="22"/>
        </w:rPr>
        <w:t xml:space="preserve">.) e sue conseguenze sui triangoli; (grande) teorema di Talete (con </w:t>
      </w:r>
      <w:proofErr w:type="spellStart"/>
      <w:r>
        <w:rPr>
          <w:rFonts w:cs="Arial"/>
          <w:szCs w:val="22"/>
        </w:rPr>
        <w:t>dim</w:t>
      </w:r>
      <w:proofErr w:type="spellEnd"/>
      <w:r>
        <w:rPr>
          <w:rFonts w:cs="Arial"/>
          <w:szCs w:val="22"/>
        </w:rPr>
        <w:t xml:space="preserve">.); concetto di similitudine e criteri di similitudine tra triangoli (primo con </w:t>
      </w:r>
      <w:proofErr w:type="spellStart"/>
      <w:r>
        <w:rPr>
          <w:rFonts w:cs="Arial"/>
          <w:szCs w:val="22"/>
        </w:rPr>
        <w:t>dim</w:t>
      </w:r>
      <w:proofErr w:type="spellEnd"/>
      <w:r>
        <w:rPr>
          <w:rFonts w:cs="Arial"/>
          <w:szCs w:val="22"/>
        </w:rPr>
        <w:t xml:space="preserve">.); approfondimento su Talete e le piramidi; teoremi di Euclide (con </w:t>
      </w:r>
      <w:proofErr w:type="spellStart"/>
      <w:r>
        <w:rPr>
          <w:rFonts w:cs="Arial"/>
          <w:szCs w:val="22"/>
        </w:rPr>
        <w:t>dim</w:t>
      </w:r>
      <w:proofErr w:type="spellEnd"/>
      <w:r>
        <w:rPr>
          <w:rFonts w:cs="Arial"/>
          <w:szCs w:val="22"/>
        </w:rPr>
        <w:t xml:space="preserve">. a partire da teorema di Talete); teorema di Pitagora (con </w:t>
      </w:r>
      <w:proofErr w:type="spellStart"/>
      <w:r>
        <w:rPr>
          <w:rFonts w:cs="Arial"/>
          <w:szCs w:val="22"/>
        </w:rPr>
        <w:t>dim</w:t>
      </w:r>
      <w:proofErr w:type="spellEnd"/>
      <w:r>
        <w:rPr>
          <w:rFonts w:cs="Arial"/>
          <w:szCs w:val="22"/>
        </w:rPr>
        <w:t>.)</w:t>
      </w:r>
      <w:r w:rsidR="008D11AE">
        <w:rPr>
          <w:rFonts w:cs="Arial"/>
          <w:szCs w:val="22"/>
        </w:rPr>
        <w:t>.</w:t>
      </w:r>
    </w:p>
    <w:p w:rsidR="00871777" w:rsidRPr="00871777" w:rsidRDefault="00871777" w:rsidP="00CE2987">
      <w:pPr>
        <w:spacing w:after="120"/>
        <w:jc w:val="both"/>
        <w:rPr>
          <w:rFonts w:cs="Arial"/>
          <w:szCs w:val="22"/>
        </w:rPr>
      </w:pPr>
      <w:r>
        <w:rPr>
          <w:rFonts w:cs="Arial"/>
          <w:b/>
          <w:i/>
          <w:szCs w:val="22"/>
        </w:rPr>
        <w:t xml:space="preserve">APPROFONDIMENTO SU PROBLEMI IRRISOLVIBILI CON RIGA E COMPASSO </w:t>
      </w:r>
      <w:r>
        <w:rPr>
          <w:rFonts w:cs="Arial"/>
          <w:szCs w:val="22"/>
        </w:rPr>
        <w:t>(creazione di cartelloni su trisezione di un angolo, duplicazione di un cubo, quadratura di un cerchio).</w:t>
      </w:r>
    </w:p>
    <w:p w:rsidR="00722FC6" w:rsidRDefault="00722FC6" w:rsidP="00CE2987">
      <w:pPr>
        <w:spacing w:after="120"/>
        <w:jc w:val="both"/>
        <w:rPr>
          <w:rFonts w:cs="Arial"/>
        </w:rPr>
      </w:pPr>
    </w:p>
    <w:p w:rsidR="000A43CF" w:rsidRPr="000A43CF" w:rsidRDefault="000A43CF" w:rsidP="00CE2987">
      <w:pPr>
        <w:spacing w:after="120"/>
        <w:jc w:val="both"/>
        <w:rPr>
          <w:rFonts w:cs="Arial"/>
          <w:sz w:val="24"/>
        </w:rPr>
      </w:pPr>
      <w:r>
        <w:rPr>
          <w:rFonts w:cs="Arial"/>
          <w:sz w:val="24"/>
        </w:rPr>
        <w:t>[STATISTICA]</w:t>
      </w:r>
    </w:p>
    <w:p w:rsidR="009309D7" w:rsidRDefault="000A43CF" w:rsidP="00CE2987">
      <w:pPr>
        <w:spacing w:after="120"/>
        <w:jc w:val="both"/>
        <w:rPr>
          <w:rFonts w:cs="Arial"/>
          <w:szCs w:val="22"/>
        </w:rPr>
      </w:pPr>
      <w:r>
        <w:rPr>
          <w:rFonts w:cs="Arial"/>
          <w:b/>
          <w:i/>
          <w:szCs w:val="22"/>
        </w:rPr>
        <w:t>RAPPRESENTAZIONE DEI DATI</w:t>
      </w:r>
      <w:r w:rsidRPr="00714BB3">
        <w:rPr>
          <w:rFonts w:cs="Arial"/>
          <w:szCs w:val="22"/>
        </w:rPr>
        <w:t xml:space="preserve">: </w:t>
      </w:r>
      <w:r w:rsidR="004B43E9">
        <w:rPr>
          <w:rFonts w:cs="Arial"/>
          <w:szCs w:val="22"/>
        </w:rPr>
        <w:t xml:space="preserve">introduzione alla statistica descrittiva: scopi e modalità; </w:t>
      </w:r>
      <w:r w:rsidR="009309D7">
        <w:rPr>
          <w:rFonts w:cs="Arial"/>
          <w:szCs w:val="22"/>
        </w:rPr>
        <w:t>tabelle dei dati; frequenza assoluta e relativa, divisione in classi di frequenza, tabelle di distribuzione delle frequenze.</w:t>
      </w:r>
    </w:p>
    <w:p w:rsidR="009309D7" w:rsidRDefault="009309D7" w:rsidP="00CE2987">
      <w:pPr>
        <w:spacing w:after="120"/>
        <w:jc w:val="both"/>
        <w:rPr>
          <w:rFonts w:cs="Arial"/>
          <w:szCs w:val="22"/>
        </w:rPr>
      </w:pPr>
      <w:r>
        <w:rPr>
          <w:rFonts w:cs="Arial"/>
          <w:b/>
          <w:i/>
          <w:szCs w:val="22"/>
        </w:rPr>
        <w:t>VALORI DI SINTESI</w:t>
      </w:r>
      <w:r>
        <w:rPr>
          <w:rFonts w:cs="Arial"/>
          <w:szCs w:val="22"/>
        </w:rPr>
        <w:t>: media aritmetica, mediana, moda.</w:t>
      </w:r>
    </w:p>
    <w:p w:rsidR="009309D7" w:rsidRDefault="009309D7" w:rsidP="00CE2987">
      <w:pPr>
        <w:spacing w:after="120"/>
        <w:jc w:val="both"/>
        <w:rPr>
          <w:rFonts w:cs="Arial"/>
          <w:szCs w:val="22"/>
        </w:rPr>
      </w:pPr>
    </w:p>
    <w:p w:rsidR="009309D7" w:rsidRPr="000A43CF" w:rsidRDefault="009309D7" w:rsidP="00CE2987">
      <w:pPr>
        <w:spacing w:after="120"/>
        <w:jc w:val="both"/>
        <w:rPr>
          <w:rFonts w:cs="Arial"/>
          <w:sz w:val="24"/>
        </w:rPr>
      </w:pPr>
      <w:r>
        <w:rPr>
          <w:rFonts w:cs="Arial"/>
          <w:sz w:val="24"/>
        </w:rPr>
        <w:t>[ALGEBRA]</w:t>
      </w:r>
    </w:p>
    <w:p w:rsidR="00752358" w:rsidRDefault="00752358" w:rsidP="00CE2987">
      <w:pPr>
        <w:spacing w:after="120"/>
        <w:jc w:val="both"/>
        <w:rPr>
          <w:rFonts w:cs="Arial"/>
          <w:szCs w:val="22"/>
        </w:rPr>
      </w:pPr>
      <w:r>
        <w:rPr>
          <w:rFonts w:cs="Arial"/>
          <w:b/>
          <w:i/>
          <w:szCs w:val="22"/>
        </w:rPr>
        <w:t>SCOMPOSIZIONE IN FATTORI - RIPASSO</w:t>
      </w:r>
      <w:r w:rsidR="009309D7" w:rsidRPr="00714BB3">
        <w:rPr>
          <w:rFonts w:cs="Arial"/>
          <w:szCs w:val="22"/>
        </w:rPr>
        <w:t xml:space="preserve">: </w:t>
      </w:r>
      <w:r>
        <w:rPr>
          <w:rFonts w:cs="Arial"/>
          <w:szCs w:val="22"/>
        </w:rPr>
        <w:t>tabella delle scomposizioni possibili (raccoglimento a fattor comune e a fattor parziale, differenza di quadrati, quadrato</w:t>
      </w:r>
      <w:r w:rsidR="008D11AE">
        <w:rPr>
          <w:rFonts w:cs="Arial"/>
          <w:szCs w:val="22"/>
        </w:rPr>
        <w:t xml:space="preserve"> di binomio, trinomio notevole).</w:t>
      </w:r>
    </w:p>
    <w:p w:rsidR="008D11AE" w:rsidRDefault="008D11AE" w:rsidP="00CE2987">
      <w:pPr>
        <w:spacing w:after="120"/>
        <w:jc w:val="both"/>
        <w:rPr>
          <w:rFonts w:cs="Arial"/>
          <w:szCs w:val="22"/>
        </w:rPr>
      </w:pPr>
      <w:r w:rsidRPr="008D11AE">
        <w:rPr>
          <w:rFonts w:cs="Arial"/>
          <w:b/>
          <w:i/>
          <w:szCs w:val="22"/>
        </w:rPr>
        <w:t>FRAZIONI ALGEBRICHE</w:t>
      </w:r>
      <w:r>
        <w:rPr>
          <w:rFonts w:cs="Arial"/>
          <w:szCs w:val="22"/>
        </w:rPr>
        <w:t xml:space="preserve">: </w:t>
      </w:r>
      <w:r w:rsidRPr="00ED712B">
        <w:rPr>
          <w:rFonts w:cs="Arial"/>
          <w:szCs w:val="22"/>
        </w:rPr>
        <w:t>MCD e mcm tra polinomi; definizione di frazione algebrica e condizioni di esistenza; proprietà invariantiva e semplificazione di una frazione algebrica; operazioni tra frazioni algebriche</w:t>
      </w:r>
      <w:r w:rsidR="00116CBB">
        <w:rPr>
          <w:rFonts w:cs="Arial"/>
          <w:szCs w:val="22"/>
        </w:rPr>
        <w:t>.</w:t>
      </w:r>
    </w:p>
    <w:p w:rsidR="00134CAE" w:rsidRDefault="00134CAE" w:rsidP="00CE2987">
      <w:pPr>
        <w:spacing w:after="120"/>
        <w:jc w:val="both"/>
        <w:rPr>
          <w:rFonts w:cs="Arial"/>
          <w:b/>
          <w:i/>
          <w:szCs w:val="22"/>
        </w:rPr>
      </w:pPr>
    </w:p>
    <w:p w:rsidR="00116CBB" w:rsidRDefault="00116CBB" w:rsidP="00CE2987">
      <w:pPr>
        <w:spacing w:after="120"/>
        <w:jc w:val="both"/>
        <w:rPr>
          <w:rFonts w:cs="Arial"/>
          <w:szCs w:val="22"/>
        </w:rPr>
      </w:pPr>
      <w:r>
        <w:rPr>
          <w:rFonts w:cs="Arial"/>
          <w:b/>
          <w:i/>
          <w:szCs w:val="22"/>
        </w:rPr>
        <w:lastRenderedPageBreak/>
        <w:t>DIVISIONE TRA POLINOMI</w:t>
      </w:r>
      <w:r>
        <w:rPr>
          <w:rFonts w:cs="Arial"/>
          <w:szCs w:val="22"/>
        </w:rPr>
        <w:t xml:space="preserve">: </w:t>
      </w:r>
      <w:r w:rsidRPr="00ED712B">
        <w:rPr>
          <w:rFonts w:cs="Arial"/>
          <w:szCs w:val="22"/>
        </w:rPr>
        <w:t>concetto di divisibilità; algoritmo generale di divisione tra polinomi, anche con resto; teorema</w:t>
      </w:r>
      <w:r>
        <w:rPr>
          <w:rFonts w:cs="Arial"/>
          <w:szCs w:val="22"/>
        </w:rPr>
        <w:t xml:space="preserve"> del resto (con </w:t>
      </w:r>
      <w:proofErr w:type="spellStart"/>
      <w:r>
        <w:rPr>
          <w:rFonts w:cs="Arial"/>
          <w:szCs w:val="22"/>
        </w:rPr>
        <w:t>dim</w:t>
      </w:r>
      <w:proofErr w:type="spellEnd"/>
      <w:r>
        <w:rPr>
          <w:rFonts w:cs="Arial"/>
          <w:szCs w:val="22"/>
        </w:rPr>
        <w:t xml:space="preserve">.) e teorema di Ruffini (con </w:t>
      </w:r>
      <w:proofErr w:type="spellStart"/>
      <w:r>
        <w:rPr>
          <w:rFonts w:cs="Arial"/>
          <w:szCs w:val="22"/>
        </w:rPr>
        <w:t>dim</w:t>
      </w:r>
      <w:proofErr w:type="spellEnd"/>
      <w:r>
        <w:rPr>
          <w:rFonts w:cs="Arial"/>
          <w:szCs w:val="22"/>
        </w:rPr>
        <w:t>.)</w:t>
      </w:r>
      <w:r w:rsidRPr="00ED712B">
        <w:rPr>
          <w:rFonts w:cs="Arial"/>
          <w:szCs w:val="22"/>
        </w:rPr>
        <w:t xml:space="preserve">; </w:t>
      </w:r>
      <w:r w:rsidR="00E420D1">
        <w:rPr>
          <w:rFonts w:cs="Arial"/>
          <w:szCs w:val="22"/>
        </w:rPr>
        <w:t>algoritmo</w:t>
      </w:r>
      <w:r w:rsidRPr="00ED712B">
        <w:rPr>
          <w:rFonts w:cs="Arial"/>
          <w:szCs w:val="22"/>
        </w:rPr>
        <w:t xml:space="preserve"> di Ruffini per la divisione per un binomio di primo grado</w:t>
      </w:r>
      <w:r>
        <w:rPr>
          <w:rFonts w:cs="Arial"/>
          <w:szCs w:val="22"/>
        </w:rPr>
        <w:t>; scomposi</w:t>
      </w:r>
      <w:r w:rsidR="00E420D1">
        <w:rPr>
          <w:rFonts w:cs="Arial"/>
          <w:szCs w:val="22"/>
        </w:rPr>
        <w:t xml:space="preserve">zione in fattori utilizzando la tecnica </w:t>
      </w:r>
      <w:r>
        <w:rPr>
          <w:rFonts w:cs="Arial"/>
          <w:szCs w:val="22"/>
        </w:rPr>
        <w:t>di Ruffini.</w:t>
      </w:r>
    </w:p>
    <w:p w:rsidR="00116CBB" w:rsidRPr="00ED712B" w:rsidRDefault="00CE2987" w:rsidP="00CE2987">
      <w:pPr>
        <w:spacing w:after="120"/>
        <w:jc w:val="both"/>
        <w:rPr>
          <w:rFonts w:cs="Arial"/>
          <w:szCs w:val="22"/>
        </w:rPr>
      </w:pPr>
      <w:r>
        <w:rPr>
          <w:rFonts w:cs="Arial"/>
          <w:b/>
          <w:i/>
          <w:szCs w:val="22"/>
        </w:rPr>
        <w:t>EQUAZIONI</w:t>
      </w:r>
      <w:r>
        <w:rPr>
          <w:rFonts w:cs="Arial"/>
          <w:szCs w:val="22"/>
        </w:rPr>
        <w:t>: risoluzione di un’equazione fratta; c</w:t>
      </w:r>
      <w:r w:rsidR="00134CAE">
        <w:rPr>
          <w:rFonts w:cs="Arial"/>
          <w:szCs w:val="22"/>
        </w:rPr>
        <w:t>ondizioni di accettabilità delle soluzioni; cenni ad equazioni letterali; equazioni di grado superiore al secondo risolvibili mediante scomposizione di un polinomio e legge dell’annullamento del prodotto.</w:t>
      </w:r>
    </w:p>
    <w:p w:rsidR="00A43338" w:rsidRDefault="00134CAE" w:rsidP="00CE2987">
      <w:pPr>
        <w:spacing w:after="120"/>
        <w:jc w:val="both"/>
        <w:rPr>
          <w:rFonts w:cs="Arial"/>
          <w:szCs w:val="22"/>
        </w:rPr>
      </w:pPr>
      <w:r>
        <w:rPr>
          <w:rFonts w:cs="Arial"/>
          <w:b/>
          <w:i/>
          <w:szCs w:val="22"/>
        </w:rPr>
        <w:t>DISEQUAZIONI</w:t>
      </w:r>
      <w:r>
        <w:rPr>
          <w:rFonts w:cs="Arial"/>
          <w:szCs w:val="22"/>
        </w:rPr>
        <w:t>: disequazioni di primo grado e loro soluzioni; concetto di soluzione di una disequazione e sue rappresentazioni (come insieme, come intervallo, rappresentazione grafica sulla retta dei numeri); principi di equivalenza delle disequazioni (in relazione a principi di equivalenza per equazioni); sistemi di disequazioni e schema delle verità; disequazioni fratte e di grado superiore al primo; schema dei segni.</w:t>
      </w:r>
    </w:p>
    <w:p w:rsidR="008D11AE" w:rsidRDefault="002A599D" w:rsidP="00CE2987">
      <w:pPr>
        <w:spacing w:after="120"/>
        <w:jc w:val="both"/>
        <w:rPr>
          <w:rFonts w:cs="Arial"/>
          <w:szCs w:val="22"/>
        </w:rPr>
      </w:pPr>
      <w:r>
        <w:rPr>
          <w:rFonts w:cs="Arial"/>
          <w:b/>
          <w:i/>
          <w:szCs w:val="22"/>
        </w:rPr>
        <w:t>RADICALI</w:t>
      </w:r>
      <w:r w:rsidR="00A43338">
        <w:rPr>
          <w:rFonts w:cs="Arial"/>
          <w:szCs w:val="22"/>
        </w:rPr>
        <w:t xml:space="preserve">: </w:t>
      </w:r>
      <w:r w:rsidR="00803D01" w:rsidRPr="00803D01">
        <w:rPr>
          <w:rFonts w:cs="Arial"/>
          <w:szCs w:val="22"/>
        </w:rPr>
        <w:t>introduzione ai numeri irrazionali e all’</w:t>
      </w:r>
      <w:r w:rsidR="00803D01">
        <w:rPr>
          <w:rFonts w:cs="Arial"/>
          <w:szCs w:val="22"/>
        </w:rPr>
        <w:t>operazione di</w:t>
      </w:r>
      <w:r w:rsidR="00803D01" w:rsidRPr="00803D01">
        <w:rPr>
          <w:rFonts w:cs="Arial"/>
          <w:szCs w:val="22"/>
        </w:rPr>
        <w:t xml:space="preserve"> estrazione di radice quadrata; </w:t>
      </w:r>
      <w:r w:rsidR="00803D01">
        <w:rPr>
          <w:rFonts w:cs="Arial"/>
          <w:szCs w:val="22"/>
        </w:rPr>
        <w:t xml:space="preserve">irrazionalità di </w:t>
      </w:r>
      <m:oMath>
        <m:rad>
          <m:radPr>
            <m:degHide m:val="1"/>
            <m:ctrlPr>
              <w:rPr>
                <w:rFonts w:ascii="Cambria Math" w:hAnsi="Cambria Math" w:cs="Arial"/>
                <w:i/>
                <w:szCs w:val="22"/>
              </w:rPr>
            </m:ctrlPr>
          </m:radPr>
          <m:deg/>
          <m:e>
            <m:r>
              <w:rPr>
                <w:rFonts w:ascii="Cambria Math" w:hAnsi="Cambria Math" w:cs="Arial"/>
                <w:szCs w:val="22"/>
              </w:rPr>
              <m:t>2</m:t>
            </m:r>
          </m:e>
        </m:rad>
      </m:oMath>
      <w:r w:rsidR="00803D01">
        <w:rPr>
          <w:rFonts w:cs="Arial"/>
          <w:szCs w:val="22"/>
        </w:rPr>
        <w:t xml:space="preserve"> e sua dimostrazione; </w:t>
      </w:r>
      <w:r w:rsidR="00803D01" w:rsidRPr="00803D01">
        <w:rPr>
          <w:rFonts w:cs="Arial"/>
          <w:szCs w:val="22"/>
        </w:rPr>
        <w:t xml:space="preserve">generalizzazione ai radicali di indice </w:t>
      </w:r>
      <m:oMath>
        <m:r>
          <w:rPr>
            <w:rFonts w:ascii="Cambria Math" w:hAnsi="Cambria Math" w:cs="Arial"/>
            <w:szCs w:val="22"/>
          </w:rPr>
          <m:t>n</m:t>
        </m:r>
      </m:oMath>
      <w:r w:rsidR="00803D01">
        <w:rPr>
          <w:rFonts w:cs="Arial"/>
          <w:szCs w:val="22"/>
        </w:rPr>
        <w:t>, differenze tra indice pari e indice dispari</w:t>
      </w:r>
      <w:r w:rsidR="00803D01" w:rsidRPr="00803D01">
        <w:rPr>
          <w:rFonts w:cs="Arial"/>
          <w:szCs w:val="22"/>
        </w:rPr>
        <w:t>; proprietà invariantiva e radicali equivalenti; operazioni con i radicali (prodotto, divisione, potenza, radice); estrazione di un termine dalla radice; somme di radicali simili; razionalizzazione di un denominatore; cenni alle potenze con esponente frazionario.</w:t>
      </w:r>
    </w:p>
    <w:p w:rsidR="00722FC6" w:rsidRDefault="00450B91" w:rsidP="00CE2987">
      <w:pPr>
        <w:spacing w:after="120"/>
        <w:jc w:val="both"/>
        <w:rPr>
          <w:rFonts w:cs="Arial"/>
          <w:szCs w:val="22"/>
        </w:rPr>
      </w:pPr>
      <w:r w:rsidRPr="00450B91">
        <w:rPr>
          <w:rFonts w:cs="Arial"/>
          <w:b/>
          <w:i/>
          <w:szCs w:val="22"/>
        </w:rPr>
        <w:t>RETTA SUL PIANO CARTESIANO</w:t>
      </w:r>
      <w:r w:rsidR="00803D01" w:rsidRPr="00450B91">
        <w:rPr>
          <w:rFonts w:cs="Arial"/>
          <w:szCs w:val="22"/>
        </w:rPr>
        <w:t xml:space="preserve">: introduzione </w:t>
      </w:r>
      <w:r w:rsidRPr="00450B91">
        <w:rPr>
          <w:rFonts w:cs="Arial"/>
          <w:szCs w:val="22"/>
        </w:rPr>
        <w:t>al piano cartesiano; biunivocità tra punti del piano e coppie ordinate di numeri reali</w:t>
      </w:r>
      <w:r>
        <w:rPr>
          <w:rFonts w:cs="Arial"/>
          <w:szCs w:val="22"/>
        </w:rPr>
        <w:t>;</w:t>
      </w:r>
      <w:r w:rsidRPr="00450B91">
        <w:rPr>
          <w:rFonts w:cs="Arial"/>
          <w:szCs w:val="22"/>
        </w:rPr>
        <w:t xml:space="preserve"> formule su punti e segmenti (distanza tra due punti, coordinate del punto medio di un segmento);</w:t>
      </w:r>
      <w:r>
        <w:rPr>
          <w:rFonts w:cs="Arial"/>
          <w:szCs w:val="22"/>
        </w:rPr>
        <w:t xml:space="preserve"> </w:t>
      </w:r>
      <w:r w:rsidR="006736D6">
        <w:rPr>
          <w:rFonts w:cs="Arial"/>
          <w:szCs w:val="22"/>
        </w:rPr>
        <w:t>concetto di luogo geometrico e di sua rappresentazione analitica tramite equazione in due variabili; equazione di una retta passante per l’origine; equazione di rette speciali (assi, parallele ad assi, bisettrici dei quadranti); equazione di una retta generica, in forma esplicita e implicita; significato geometrico dei coefficienti della retta in forma esplicita</w:t>
      </w:r>
      <w:r w:rsidR="000458A5">
        <w:rPr>
          <w:rFonts w:cs="Arial"/>
          <w:szCs w:val="22"/>
        </w:rPr>
        <w:t xml:space="preserve">; </w:t>
      </w:r>
      <w:r w:rsidR="000458A5" w:rsidRPr="000458A5">
        <w:rPr>
          <w:rFonts w:cs="Arial"/>
          <w:szCs w:val="22"/>
        </w:rPr>
        <w:t>condizione di parallelismo e di perpendicolarità tra rette (in relazione al coefficiente angolare); rette incidenti, parallele, coincidenti (anche in relazione alle soluzioni del sistema tra le equazioni)</w:t>
      </w:r>
      <w:bookmarkStart w:id="0" w:name="_GoBack"/>
      <w:bookmarkEnd w:id="0"/>
      <w:r w:rsidR="006736D6">
        <w:rPr>
          <w:rFonts w:cs="Arial"/>
          <w:szCs w:val="22"/>
        </w:rPr>
        <w:t xml:space="preserve">. </w:t>
      </w:r>
    </w:p>
    <w:p w:rsidR="006736D6" w:rsidRPr="00A01186" w:rsidRDefault="006736D6" w:rsidP="00CE2987">
      <w:pPr>
        <w:spacing w:after="120"/>
        <w:jc w:val="both"/>
        <w:rPr>
          <w:rFonts w:cs="Arial"/>
        </w:rPr>
      </w:pPr>
    </w:p>
    <w:p w:rsidR="00544899" w:rsidRDefault="00544899" w:rsidP="00544899">
      <w:r>
        <w:rPr>
          <w:rFonts w:cs="Arial"/>
          <w:noProof/>
        </w:rPr>
        <w:drawing>
          <wp:anchor distT="0" distB="0" distL="114300" distR="114300" simplePos="0" relativeHeight="251659264" behindDoc="0" locked="0" layoutInCell="1" allowOverlap="1" wp14:anchorId="184185E3" wp14:editId="24BA1694">
            <wp:simplePos x="0" y="0"/>
            <wp:positionH relativeFrom="column">
              <wp:posOffset>4153535</wp:posOffset>
            </wp:positionH>
            <wp:positionV relativeFrom="paragraph">
              <wp:posOffset>398145</wp:posOffset>
            </wp:positionV>
            <wp:extent cx="1478915" cy="646430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rma.g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8915" cy="646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44899" w:rsidRPr="00A01186" w:rsidRDefault="00544899" w:rsidP="00544899">
      <w:pPr>
        <w:spacing w:after="120"/>
        <w:ind w:left="6372" w:firstLine="708"/>
        <w:jc w:val="both"/>
        <w:rPr>
          <w:rFonts w:cs="Arial"/>
          <w:smallCaps/>
        </w:rPr>
      </w:pPr>
      <w:r w:rsidRPr="00A01186">
        <w:rPr>
          <w:rFonts w:cs="Arial"/>
          <w:smallCaps/>
        </w:rPr>
        <w:t>Il Docente</w:t>
      </w:r>
    </w:p>
    <w:p w:rsidR="00544899" w:rsidRPr="00A01186" w:rsidRDefault="00544899" w:rsidP="00544899">
      <w:pPr>
        <w:spacing w:after="120"/>
        <w:jc w:val="both"/>
        <w:rPr>
          <w:rFonts w:cs="Arial"/>
        </w:rPr>
      </w:pPr>
    </w:p>
    <w:p w:rsidR="00544899" w:rsidRPr="00A01186" w:rsidRDefault="00544899" w:rsidP="00544899">
      <w:pPr>
        <w:spacing w:after="120"/>
        <w:jc w:val="both"/>
        <w:rPr>
          <w:rFonts w:cs="Arial"/>
        </w:rPr>
      </w:pPr>
    </w:p>
    <w:p w:rsidR="00544899" w:rsidRDefault="00544899" w:rsidP="00544899">
      <w:pPr>
        <w:spacing w:after="120"/>
        <w:ind w:left="5664"/>
        <w:jc w:val="both"/>
        <w:rPr>
          <w:smallCaps/>
        </w:rPr>
      </w:pPr>
      <w:r w:rsidRPr="00D26AEA">
        <w:rPr>
          <w:smallCaps/>
        </w:rPr>
        <w:t xml:space="preserve">      </w:t>
      </w:r>
    </w:p>
    <w:p w:rsidR="00544899" w:rsidRPr="00D26AEA" w:rsidRDefault="00544899" w:rsidP="00544899">
      <w:pPr>
        <w:spacing w:after="120"/>
        <w:ind w:left="5664"/>
        <w:jc w:val="both"/>
        <w:rPr>
          <w:smallCaps/>
        </w:rPr>
      </w:pPr>
      <w:r w:rsidRPr="00D26AEA">
        <w:rPr>
          <w:smallCaps/>
        </w:rPr>
        <w:t xml:space="preserve">I rappresentanti degli </w:t>
      </w:r>
      <w:r>
        <w:rPr>
          <w:smallCaps/>
        </w:rPr>
        <w:t>S</w:t>
      </w:r>
      <w:r w:rsidRPr="00D26AEA">
        <w:rPr>
          <w:smallCaps/>
        </w:rPr>
        <w:t>tudenti</w:t>
      </w:r>
    </w:p>
    <w:p w:rsidR="00D206E8" w:rsidRPr="00D206E8" w:rsidRDefault="00D206E8" w:rsidP="00CE2987">
      <w:pPr>
        <w:spacing w:after="120"/>
        <w:jc w:val="both"/>
      </w:pPr>
    </w:p>
    <w:sectPr w:rsidR="00D206E8" w:rsidRPr="00D206E8" w:rsidSect="00134CAE">
      <w:headerReference w:type="default" r:id="rId8"/>
      <w:footerReference w:type="default" r:id="rId9"/>
      <w:type w:val="continuous"/>
      <w:pgSz w:w="11906" w:h="16838" w:code="9"/>
      <w:pgMar w:top="1417" w:right="1134" w:bottom="1134" w:left="1134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28A8" w:rsidRDefault="009C28A8">
      <w:r>
        <w:separator/>
      </w:r>
    </w:p>
  </w:endnote>
  <w:endnote w:type="continuationSeparator" w:id="0">
    <w:p w:rsidR="009C28A8" w:rsidRDefault="009C28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5DF4" w:rsidRPr="00811B3F" w:rsidRDefault="004E5DF4" w:rsidP="00811B3F">
    <w:pPr>
      <w:bidi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28A8" w:rsidRDefault="009C28A8">
      <w:r>
        <w:separator/>
      </w:r>
    </w:p>
  </w:footnote>
  <w:footnote w:type="continuationSeparator" w:id="0">
    <w:p w:rsidR="009C28A8" w:rsidRDefault="009C28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5DF4" w:rsidRDefault="00803D01">
    <w:pPr>
      <w:jc w:val="center"/>
    </w:pPr>
    <w:r>
      <w:rPr>
        <w:noProof/>
      </w:rPr>
      <w:drawing>
        <wp:inline distT="0" distB="0" distL="0" distR="0">
          <wp:extent cx="676275" cy="428625"/>
          <wp:effectExtent l="0" t="0" r="0" b="0"/>
          <wp:docPr id="1" name="Immagine 1" descr="marchio can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rchio can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E5DF4" w:rsidRPr="006664C7" w:rsidRDefault="004E5DF4" w:rsidP="00274004">
    <w:pPr>
      <w:pStyle w:val="Titolo1"/>
      <w:spacing w:before="100"/>
      <w:rPr>
        <w:b w:val="0"/>
        <w:bCs w:val="0"/>
        <w:spacing w:val="100"/>
        <w:sz w:val="21"/>
        <w:szCs w:val="21"/>
      </w:rPr>
    </w:pPr>
    <w:r w:rsidRPr="006664C7">
      <w:rPr>
        <w:b w:val="0"/>
        <w:bCs w:val="0"/>
        <w:spacing w:val="100"/>
        <w:sz w:val="21"/>
        <w:szCs w:val="21"/>
      </w:rPr>
      <w:t>Istituto di Istruzione Superiore</w:t>
    </w:r>
  </w:p>
  <w:p w:rsidR="004E5DF4" w:rsidRDefault="004E5DF4" w:rsidP="00274004">
    <w:pPr>
      <w:spacing w:before="60"/>
      <w:jc w:val="center"/>
      <w:rPr>
        <w:spacing w:val="100"/>
        <w:szCs w:val="22"/>
      </w:rPr>
    </w:pPr>
    <w:r w:rsidRPr="006D51B4">
      <w:rPr>
        <w:spacing w:val="100"/>
        <w:szCs w:val="22"/>
      </w:rPr>
      <w:t>“CONCETTO MARCHESI”</w:t>
    </w:r>
  </w:p>
  <w:p w:rsidR="006736D6" w:rsidRPr="006D51B4" w:rsidRDefault="006736D6" w:rsidP="00274004">
    <w:pPr>
      <w:spacing w:before="60"/>
      <w:jc w:val="center"/>
      <w:rPr>
        <w:spacing w:val="100"/>
        <w:szCs w:val="22"/>
      </w:rPr>
    </w:pPr>
  </w:p>
  <w:p w:rsidR="004E5DF4" w:rsidRPr="00274004" w:rsidRDefault="004E5DF4">
    <w:pPr>
      <w:jc w:val="center"/>
      <w:rPr>
        <w:rFonts w:cs="Arial"/>
        <w:spacing w:val="20"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76A3E"/>
    <w:multiLevelType w:val="hybridMultilevel"/>
    <w:tmpl w:val="16704D86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EC7D21"/>
    <w:multiLevelType w:val="hybridMultilevel"/>
    <w:tmpl w:val="49046E76"/>
    <w:lvl w:ilvl="0" w:tplc="34F614D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hAnsi="Garamond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E3055F1"/>
    <w:multiLevelType w:val="multilevel"/>
    <w:tmpl w:val="D6948A1E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7A66CC"/>
    <w:multiLevelType w:val="hybridMultilevel"/>
    <w:tmpl w:val="C12AF624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61A50AB"/>
    <w:multiLevelType w:val="hybridMultilevel"/>
    <w:tmpl w:val="D6948A1E"/>
    <w:lvl w:ilvl="0" w:tplc="190AFEF6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C01104"/>
    <w:multiLevelType w:val="hybridMultilevel"/>
    <w:tmpl w:val="E72E7792"/>
    <w:lvl w:ilvl="0" w:tplc="3E4A2D5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31"/>
        </w:tabs>
        <w:ind w:left="731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451"/>
        </w:tabs>
        <w:ind w:left="14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171"/>
        </w:tabs>
        <w:ind w:left="21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891"/>
        </w:tabs>
        <w:ind w:left="2891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611"/>
        </w:tabs>
        <w:ind w:left="36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331"/>
        </w:tabs>
        <w:ind w:left="43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051"/>
        </w:tabs>
        <w:ind w:left="5051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771"/>
        </w:tabs>
        <w:ind w:left="5771" w:hanging="360"/>
      </w:pPr>
      <w:rPr>
        <w:rFonts w:ascii="Wingdings" w:hAnsi="Wingdings" w:hint="default"/>
      </w:rPr>
    </w:lvl>
  </w:abstractNum>
  <w:abstractNum w:abstractNumId="6" w15:restartNumberingAfterBreak="0">
    <w:nsid w:val="40703B06"/>
    <w:multiLevelType w:val="hybridMultilevel"/>
    <w:tmpl w:val="17AEBE34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CD6A9D"/>
    <w:multiLevelType w:val="multilevel"/>
    <w:tmpl w:val="9AFA0092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/>
        <w:sz w:val="22"/>
        <w:szCs w:val="24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07859B8"/>
    <w:multiLevelType w:val="hybridMultilevel"/>
    <w:tmpl w:val="72DCD320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005AB6"/>
    <w:multiLevelType w:val="hybridMultilevel"/>
    <w:tmpl w:val="9AFA0092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B495B93"/>
    <w:multiLevelType w:val="hybridMultilevel"/>
    <w:tmpl w:val="B7B4F0DA"/>
    <w:lvl w:ilvl="0" w:tplc="3E4A2D5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31"/>
        </w:tabs>
        <w:ind w:left="731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451"/>
        </w:tabs>
        <w:ind w:left="14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171"/>
        </w:tabs>
        <w:ind w:left="21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891"/>
        </w:tabs>
        <w:ind w:left="2891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611"/>
        </w:tabs>
        <w:ind w:left="36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331"/>
        </w:tabs>
        <w:ind w:left="43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051"/>
        </w:tabs>
        <w:ind w:left="5051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771"/>
        </w:tabs>
        <w:ind w:left="5771" w:hanging="360"/>
      </w:pPr>
      <w:rPr>
        <w:rFonts w:ascii="Wingdings" w:hAnsi="Wingdings" w:hint="default"/>
      </w:rPr>
    </w:lvl>
  </w:abstractNum>
  <w:abstractNum w:abstractNumId="11" w15:restartNumberingAfterBreak="0">
    <w:nsid w:val="5BB85E22"/>
    <w:multiLevelType w:val="hybridMultilevel"/>
    <w:tmpl w:val="0820EF6C"/>
    <w:lvl w:ilvl="0" w:tplc="3E4A2D5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31"/>
        </w:tabs>
        <w:ind w:left="731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451"/>
        </w:tabs>
        <w:ind w:left="14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171"/>
        </w:tabs>
        <w:ind w:left="21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891"/>
        </w:tabs>
        <w:ind w:left="2891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611"/>
        </w:tabs>
        <w:ind w:left="36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331"/>
        </w:tabs>
        <w:ind w:left="43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051"/>
        </w:tabs>
        <w:ind w:left="5051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771"/>
        </w:tabs>
        <w:ind w:left="5771" w:hanging="360"/>
      </w:pPr>
      <w:rPr>
        <w:rFonts w:ascii="Wingdings" w:hAnsi="Wingdings" w:hint="default"/>
      </w:rPr>
    </w:lvl>
  </w:abstractNum>
  <w:abstractNum w:abstractNumId="12" w15:restartNumberingAfterBreak="0">
    <w:nsid w:val="62FE78C4"/>
    <w:multiLevelType w:val="hybridMultilevel"/>
    <w:tmpl w:val="1ED4F7CA"/>
    <w:lvl w:ilvl="0" w:tplc="3E4A2D5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9"/>
  </w:num>
  <w:num w:numId="4">
    <w:abstractNumId w:val="1"/>
  </w:num>
  <w:num w:numId="5">
    <w:abstractNumId w:val="3"/>
  </w:num>
  <w:num w:numId="6">
    <w:abstractNumId w:val="7"/>
  </w:num>
  <w:num w:numId="7">
    <w:abstractNumId w:val="12"/>
  </w:num>
  <w:num w:numId="8">
    <w:abstractNumId w:val="10"/>
  </w:num>
  <w:num w:numId="9">
    <w:abstractNumId w:val="5"/>
  </w:num>
  <w:num w:numId="10">
    <w:abstractNumId w:val="11"/>
  </w:num>
  <w:num w:numId="11">
    <w:abstractNumId w:val="4"/>
  </w:num>
  <w:num w:numId="12">
    <w:abstractNumId w:val="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F1F"/>
    <w:rsid w:val="000458A5"/>
    <w:rsid w:val="000A43CF"/>
    <w:rsid w:val="000F4BFE"/>
    <w:rsid w:val="00116CBB"/>
    <w:rsid w:val="001229C9"/>
    <w:rsid w:val="00134CAE"/>
    <w:rsid w:val="001836BF"/>
    <w:rsid w:val="001A07E3"/>
    <w:rsid w:val="001B3B56"/>
    <w:rsid w:val="001B7608"/>
    <w:rsid w:val="001D1CE7"/>
    <w:rsid w:val="001F5DA4"/>
    <w:rsid w:val="00205CD1"/>
    <w:rsid w:val="00217D8E"/>
    <w:rsid w:val="00227202"/>
    <w:rsid w:val="002548B1"/>
    <w:rsid w:val="00255E8C"/>
    <w:rsid w:val="00274004"/>
    <w:rsid w:val="002A599D"/>
    <w:rsid w:val="00303665"/>
    <w:rsid w:val="00335B01"/>
    <w:rsid w:val="003C4A0D"/>
    <w:rsid w:val="003E608B"/>
    <w:rsid w:val="0041276B"/>
    <w:rsid w:val="00450B91"/>
    <w:rsid w:val="004951F7"/>
    <w:rsid w:val="004B43E9"/>
    <w:rsid w:val="004C1937"/>
    <w:rsid w:val="004D6D64"/>
    <w:rsid w:val="004E5DF4"/>
    <w:rsid w:val="00506943"/>
    <w:rsid w:val="0050749D"/>
    <w:rsid w:val="00544899"/>
    <w:rsid w:val="00554F1E"/>
    <w:rsid w:val="00555DC9"/>
    <w:rsid w:val="00634E4A"/>
    <w:rsid w:val="006455E4"/>
    <w:rsid w:val="006664C7"/>
    <w:rsid w:val="006736D6"/>
    <w:rsid w:val="006D51B4"/>
    <w:rsid w:val="006F6763"/>
    <w:rsid w:val="00704A3E"/>
    <w:rsid w:val="00722FC6"/>
    <w:rsid w:val="00752358"/>
    <w:rsid w:val="007D2E50"/>
    <w:rsid w:val="00803D01"/>
    <w:rsid w:val="008072D6"/>
    <w:rsid w:val="00811B3F"/>
    <w:rsid w:val="00862C83"/>
    <w:rsid w:val="00871777"/>
    <w:rsid w:val="00892E6D"/>
    <w:rsid w:val="008A3ACA"/>
    <w:rsid w:val="008B67BA"/>
    <w:rsid w:val="008D11AE"/>
    <w:rsid w:val="008F582A"/>
    <w:rsid w:val="009309D7"/>
    <w:rsid w:val="00991B69"/>
    <w:rsid w:val="009B0EE5"/>
    <w:rsid w:val="009B20BC"/>
    <w:rsid w:val="009C28A8"/>
    <w:rsid w:val="009D710C"/>
    <w:rsid w:val="009F55BB"/>
    <w:rsid w:val="00A01186"/>
    <w:rsid w:val="00A43338"/>
    <w:rsid w:val="00A83F1F"/>
    <w:rsid w:val="00AE7255"/>
    <w:rsid w:val="00B4089E"/>
    <w:rsid w:val="00B44913"/>
    <w:rsid w:val="00B64B18"/>
    <w:rsid w:val="00B90CEF"/>
    <w:rsid w:val="00BD0520"/>
    <w:rsid w:val="00CB0124"/>
    <w:rsid w:val="00CE2987"/>
    <w:rsid w:val="00D04F7D"/>
    <w:rsid w:val="00D206E8"/>
    <w:rsid w:val="00D500A7"/>
    <w:rsid w:val="00D70167"/>
    <w:rsid w:val="00E05078"/>
    <w:rsid w:val="00E420D1"/>
    <w:rsid w:val="00EE39AC"/>
    <w:rsid w:val="00F31531"/>
    <w:rsid w:val="00FA5172"/>
    <w:rsid w:val="00FF7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B12B688"/>
  <w15:chartTrackingRefBased/>
  <w15:docId w15:val="{7D5CD666-DED5-4B54-81F0-EE80699C9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D206E8"/>
    <w:rPr>
      <w:rFonts w:ascii="Arial" w:hAnsi="Arial"/>
      <w:sz w:val="22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bCs/>
      <w:smallCaps/>
      <w:sz w:val="28"/>
    </w:rPr>
  </w:style>
  <w:style w:type="paragraph" w:styleId="Titolo2">
    <w:name w:val="heading 2"/>
    <w:basedOn w:val="Normale"/>
    <w:next w:val="Normale"/>
    <w:qFormat/>
    <w:pPr>
      <w:keepNext/>
      <w:tabs>
        <w:tab w:val="left" w:pos="4138"/>
      </w:tabs>
      <w:jc w:val="center"/>
      <w:outlineLvl w:val="1"/>
    </w:pPr>
    <w:rPr>
      <w:b/>
      <w:bCs/>
      <w:smallCaps/>
      <w:sz w:val="16"/>
    </w:rPr>
  </w:style>
  <w:style w:type="paragraph" w:styleId="Titolo3">
    <w:name w:val="heading 3"/>
    <w:basedOn w:val="Normale"/>
    <w:next w:val="Normale"/>
    <w:qFormat/>
    <w:pPr>
      <w:keepNext/>
      <w:jc w:val="both"/>
      <w:outlineLvl w:val="2"/>
    </w:pPr>
    <w:rPr>
      <w:i/>
      <w:iCs/>
      <w:spacing w:val="76"/>
      <w:sz w:val="12"/>
      <w:lang w:val="en-GB"/>
    </w:rPr>
  </w:style>
  <w:style w:type="paragraph" w:styleId="Titolo4">
    <w:name w:val="heading 4"/>
    <w:basedOn w:val="Normale"/>
    <w:next w:val="Normale"/>
    <w:qFormat/>
    <w:pPr>
      <w:keepNext/>
      <w:tabs>
        <w:tab w:val="left" w:pos="6480"/>
        <w:tab w:val="left" w:pos="6660"/>
      </w:tabs>
      <w:jc w:val="center"/>
      <w:outlineLvl w:val="3"/>
    </w:pPr>
    <w:rPr>
      <w:rFonts w:ascii="Tahoma" w:hAnsi="Tahoma"/>
      <w:sz w:val="4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Pr>
      <w:color w:val="0000FF"/>
      <w:u w:val="single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pPr>
      <w:ind w:firstLine="540"/>
      <w:jc w:val="both"/>
    </w:pPr>
    <w:rPr>
      <w:rFonts w:ascii="Tahoma" w:hAnsi="Tahoma"/>
    </w:rPr>
  </w:style>
  <w:style w:type="table" w:styleId="Grigliatabella">
    <w:name w:val="Table Grid"/>
    <w:basedOn w:val="Tabellanormale"/>
    <w:rsid w:val="008A3A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803D0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740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Giuseppe Nigretti</dc:creator>
  <cp:keywords/>
  <dc:description/>
  <cp:lastModifiedBy>andrea cravotta</cp:lastModifiedBy>
  <cp:revision>14</cp:revision>
  <cp:lastPrinted>2008-10-15T09:22:00Z</cp:lastPrinted>
  <dcterms:created xsi:type="dcterms:W3CDTF">2017-07-15T06:37:00Z</dcterms:created>
  <dcterms:modified xsi:type="dcterms:W3CDTF">2017-07-19T06:57:00Z</dcterms:modified>
</cp:coreProperties>
</file>