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CE2987">
      <w:pPr>
        <w:spacing w:after="120"/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 w:rsidR="00D005AB">
        <w:rPr>
          <w:b/>
          <w:bCs/>
          <w:smallCaps/>
          <w:sz w:val="28"/>
          <w:szCs w:val="28"/>
        </w:rPr>
        <w:t>Fisica</w:t>
      </w:r>
    </w:p>
    <w:p w:rsidR="00D206E8" w:rsidRPr="00D206E8" w:rsidRDefault="00D206E8" w:rsidP="00CE2987">
      <w:pPr>
        <w:jc w:val="both"/>
      </w:pPr>
    </w:p>
    <w:p w:rsidR="00D206E8" w:rsidRPr="00ED788E" w:rsidRDefault="00D206E8" w:rsidP="00CE2987">
      <w:pPr>
        <w:jc w:val="both"/>
      </w:pPr>
      <w:r w:rsidRPr="00ED788E">
        <w:t>CLASSE</w:t>
      </w:r>
      <w:r w:rsidRPr="00722FC6">
        <w:rPr>
          <w:b/>
          <w:bCs/>
        </w:rPr>
        <w:tab/>
      </w:r>
      <w:r w:rsidR="008A21F4">
        <w:rPr>
          <w:b/>
          <w:bCs/>
        </w:rPr>
        <w:t>3</w:t>
      </w:r>
      <w:r w:rsidR="00D500A7">
        <w:rPr>
          <w:b/>
          <w:bCs/>
        </w:rPr>
        <w:t>AC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 w:rsidR="00D500A7">
        <w:rPr>
          <w:b/>
          <w:bCs/>
        </w:rPr>
        <w:t>16</w:t>
      </w:r>
      <w:r w:rsidRPr="00D206E8">
        <w:rPr>
          <w:b/>
          <w:bCs/>
        </w:rPr>
        <w:t>/</w:t>
      </w:r>
      <w:r w:rsidR="00D500A7">
        <w:rPr>
          <w:b/>
          <w:bCs/>
        </w:rPr>
        <w:t>2017</w:t>
      </w:r>
    </w:p>
    <w:p w:rsidR="00D206E8" w:rsidRPr="00D206E8" w:rsidRDefault="00D206E8" w:rsidP="00CE2987">
      <w:pPr>
        <w:jc w:val="both"/>
      </w:pPr>
    </w:p>
    <w:p w:rsidR="00D206E8" w:rsidRPr="00722FC6" w:rsidRDefault="00D206E8" w:rsidP="00CE2987">
      <w:pPr>
        <w:jc w:val="both"/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D500A7">
        <w:rPr>
          <w:b/>
          <w:bCs/>
        </w:rPr>
        <w:t>ANDREA CRAVOTTA</w:t>
      </w:r>
    </w:p>
    <w:p w:rsidR="00FF71F9" w:rsidRDefault="00FF71F9" w:rsidP="00CE2987">
      <w:pPr>
        <w:jc w:val="both"/>
      </w:pPr>
    </w:p>
    <w:p w:rsidR="00D500A7" w:rsidRPr="00096C7C" w:rsidRDefault="00D206E8" w:rsidP="00CE2987">
      <w:pPr>
        <w:jc w:val="both"/>
      </w:pPr>
      <w:r>
        <w:t>TESTO</w:t>
      </w:r>
      <w:r w:rsidR="00634E4A">
        <w:t>:</w:t>
      </w:r>
      <w:r>
        <w:t xml:space="preserve"> </w:t>
      </w:r>
      <w:r w:rsidR="00D500A7">
        <w:tab/>
      </w:r>
      <w:proofErr w:type="spellStart"/>
      <w:r w:rsidR="00096C7C">
        <w:t>Caforio</w:t>
      </w:r>
      <w:proofErr w:type="spellEnd"/>
      <w:r w:rsidR="00096C7C">
        <w:t>, Ferilli</w:t>
      </w:r>
      <w:r w:rsidR="00D500A7">
        <w:t xml:space="preserve">, </w:t>
      </w:r>
      <w:r w:rsidR="00096C7C" w:rsidRPr="00096C7C">
        <w:rPr>
          <w:i/>
        </w:rPr>
        <w:t>FISICA! LE LEGGI DELLA NATURA</w:t>
      </w:r>
      <w:r w:rsidR="00096C7C">
        <w:t>, volume 3° anno</w:t>
      </w:r>
    </w:p>
    <w:p w:rsidR="008A21F4" w:rsidRPr="00D500A7" w:rsidRDefault="008A21F4" w:rsidP="00CE2987">
      <w:pPr>
        <w:ind w:left="1418"/>
        <w:jc w:val="both"/>
        <w:rPr>
          <w:i/>
        </w:rPr>
      </w:pPr>
    </w:p>
    <w:p w:rsidR="00D500A7" w:rsidRDefault="00D500A7" w:rsidP="00CE2987">
      <w:pPr>
        <w:spacing w:after="120"/>
        <w:jc w:val="both"/>
        <w:rPr>
          <w:rFonts w:cs="Arial"/>
          <w:b/>
        </w:rPr>
      </w:pPr>
    </w:p>
    <w:p w:rsidR="00FB7145" w:rsidRDefault="00096C7C" w:rsidP="00096C7C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GRANDEZZE E MISURE</w:t>
      </w:r>
      <w:r w:rsidR="00FB7145" w:rsidRPr="00714BB3">
        <w:rPr>
          <w:rFonts w:cs="Arial"/>
          <w:szCs w:val="22"/>
        </w:rPr>
        <w:t xml:space="preserve">: </w:t>
      </w:r>
      <w:r>
        <w:t>il metodo scientifico: caratteristiche e modus operandi;</w:t>
      </w:r>
      <w:r>
        <w:t xml:space="preserve"> </w:t>
      </w:r>
      <w:r>
        <w:t>unità di misura e sistema internazionale; multipli e sottomultipli delle unità fondamentali; conversioni tra unità di misura equivalenti, uso del fattore di conversione; grandezze fondamentali e grandezze derivate (misure di area e volume, grandezze definite come rapporto); conversioni con grandezze derivate;</w:t>
      </w:r>
      <w:r>
        <w:t xml:space="preserve"> </w:t>
      </w:r>
      <w:r>
        <w:t>uso della notazione scientifica nell</w:t>
      </w:r>
      <w:r>
        <w:t>’espressione di numeri e misure.</w:t>
      </w:r>
    </w:p>
    <w:p w:rsidR="00FB7145" w:rsidRPr="00096C7C" w:rsidRDefault="00096C7C" w:rsidP="00096C7C">
      <w:pPr>
        <w:spacing w:after="120"/>
        <w:jc w:val="both"/>
      </w:pPr>
      <w:r>
        <w:rPr>
          <w:rFonts w:cs="Arial"/>
          <w:b/>
          <w:i/>
          <w:szCs w:val="22"/>
        </w:rPr>
        <w:t>VETTORI</w:t>
      </w:r>
      <w:r w:rsidR="00FB7145">
        <w:rPr>
          <w:rFonts w:cs="Arial"/>
          <w:szCs w:val="22"/>
        </w:rPr>
        <w:t xml:space="preserve">: </w:t>
      </w:r>
      <w:r>
        <w:t>definizione di vettore come oggetto geometrico-matematico; algebra dei vettori (somma con metodo punta coda e metodo parallelogramma); definizione di vettore opposto;</w:t>
      </w:r>
      <w:r>
        <w:t xml:space="preserve"> </w:t>
      </w:r>
      <w:r>
        <w:t>scomposizione di un vettore come somma delle sue proiezioni lungo due direzioni ortogonali; componenti cartesiane di un vettore; vettore espresso per mezzo di coordinate polari; passaggio da componenti polari a cartesiane in casi particolari (angoli di 45°, 30° e 60°) e con formula generale con seno e coseno</w:t>
      </w:r>
      <w:r w:rsidR="00FB7145">
        <w:rPr>
          <w:rFonts w:cs="Arial"/>
          <w:szCs w:val="22"/>
        </w:rPr>
        <w:t>.</w:t>
      </w:r>
    </w:p>
    <w:p w:rsidR="00096C7C" w:rsidRDefault="00096C7C" w:rsidP="00096C7C">
      <w:pPr>
        <w:spacing w:after="120"/>
        <w:jc w:val="both"/>
      </w:pPr>
      <w:r>
        <w:rPr>
          <w:rFonts w:cs="Arial"/>
          <w:b/>
          <w:i/>
          <w:szCs w:val="22"/>
        </w:rPr>
        <w:t>FORZE ED EQUILIBRIO</w:t>
      </w:r>
      <w:r w:rsidR="00B6151F">
        <w:rPr>
          <w:rFonts w:cs="Arial"/>
          <w:szCs w:val="22"/>
        </w:rPr>
        <w:t xml:space="preserve">: </w:t>
      </w:r>
      <w:r>
        <w:t>definizione di forza in fisica; forza come grandezza fisica vettoriale;</w:t>
      </w:r>
      <w:r>
        <w:t xml:space="preserve"> </w:t>
      </w:r>
      <w:r>
        <w:t>modellizzazione dei vari tipi di forze (reazione normale, forza peso, forza elastica, forza d’attrito statico) e delle varie situazioni trattati a lezione;</w:t>
      </w:r>
      <w:r>
        <w:t xml:space="preserve"> </w:t>
      </w:r>
      <w:r>
        <w:t>definizione di equilibrio per un corpo puntiforme o ass</w:t>
      </w:r>
      <w:r>
        <w:t>imilabile a un corpo puntiforme.</w:t>
      </w:r>
    </w:p>
    <w:p w:rsidR="00096C7C" w:rsidRPr="00096C7C" w:rsidRDefault="00096C7C" w:rsidP="00096C7C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CINEMATICA</w:t>
      </w:r>
      <w:r w:rsidR="0007770F">
        <w:rPr>
          <w:rFonts w:cs="Arial"/>
          <w:b/>
          <w:i/>
          <w:szCs w:val="22"/>
        </w:rPr>
        <w:t xml:space="preserve"> MONODIMENSIONALE</w:t>
      </w:r>
      <w:r w:rsidR="00FB7145" w:rsidRPr="00714BB3">
        <w:rPr>
          <w:rFonts w:cs="Arial"/>
          <w:szCs w:val="22"/>
        </w:rPr>
        <w:t xml:space="preserve">: </w:t>
      </w:r>
      <w:r w:rsidRPr="00096C7C">
        <w:rPr>
          <w:rFonts w:cs="Arial"/>
          <w:szCs w:val="22"/>
        </w:rPr>
        <w:t>determinazione della posizione in un sistema di riferimento spaziale (in una, due e tre dimensioni); concetto di traiettoria; definizione di spostamento e distanza percorsa; concetto di evento; definizione di intervallo temporale; rappresentazione di eventi associati al moto di un oggetto con una tabella e/o su di un piano cartesiano tempo-posizione; identificazione tra un moto in un sistema di riferimento e il corrispondente grafico tempo-posizione;</w:t>
      </w:r>
    </w:p>
    <w:p w:rsidR="00096C7C" w:rsidRPr="00096C7C" w:rsidRDefault="00096C7C" w:rsidP="00096C7C">
      <w:pPr>
        <w:spacing w:after="120"/>
        <w:jc w:val="both"/>
        <w:rPr>
          <w:rFonts w:cs="Arial"/>
          <w:szCs w:val="22"/>
        </w:rPr>
      </w:pPr>
      <w:r w:rsidRPr="00096C7C">
        <w:rPr>
          <w:rFonts w:cs="Arial"/>
          <w:szCs w:val="22"/>
        </w:rPr>
        <w:t>definizione di velocità media e formula per calcolarla; definizione di velocità istantanea; interpretazione della velocità istantanea come pendenza della retta tangente ad un punto in un grafico istante-posizione; concetto di legge oraria (di posizione o velocità) come equazione per determinare eventi posizione-tempo o velocità-tempo per un determinato moto;</w:t>
      </w:r>
    </w:p>
    <w:p w:rsidR="00096C7C" w:rsidRPr="00096C7C" w:rsidRDefault="00096C7C" w:rsidP="00096C7C">
      <w:pPr>
        <w:spacing w:after="120"/>
        <w:jc w:val="both"/>
        <w:rPr>
          <w:rFonts w:cs="Arial"/>
          <w:szCs w:val="22"/>
        </w:rPr>
      </w:pPr>
      <w:r w:rsidRPr="00096C7C">
        <w:rPr>
          <w:rFonts w:cs="Arial"/>
          <w:szCs w:val="22"/>
        </w:rPr>
        <w:t xml:space="preserve">definizione di moto rettilineo uniforme e sue caratteristiche; leggi orarie per posizione e velocità nel moto uniforme; rappresentazione grafica sul piano x-t e v-t di un moto uniforme; </w:t>
      </w:r>
    </w:p>
    <w:p w:rsidR="00096C7C" w:rsidRPr="00096C7C" w:rsidRDefault="00096C7C" w:rsidP="00096C7C">
      <w:pPr>
        <w:spacing w:after="120"/>
        <w:jc w:val="both"/>
        <w:rPr>
          <w:rFonts w:cs="Arial"/>
          <w:szCs w:val="22"/>
        </w:rPr>
      </w:pPr>
      <w:r w:rsidRPr="00096C7C">
        <w:rPr>
          <w:rFonts w:cs="Arial"/>
          <w:szCs w:val="22"/>
        </w:rPr>
        <w:t>intersezione tra grafici relativi al moto di due corpi nello stesso sistema di riferimento del moto sul piano x-t come “incontro” tra i due corpi; spazio percorso in un moto (spostamento) come area sottesa dalla curva di un grafico velocità-tempo;</w:t>
      </w:r>
    </w:p>
    <w:p w:rsidR="00096C7C" w:rsidRPr="00096C7C" w:rsidRDefault="00096C7C" w:rsidP="00096C7C">
      <w:pPr>
        <w:spacing w:after="120"/>
        <w:jc w:val="both"/>
        <w:rPr>
          <w:rFonts w:cs="Arial"/>
          <w:szCs w:val="22"/>
        </w:rPr>
      </w:pPr>
      <w:r w:rsidRPr="00096C7C">
        <w:rPr>
          <w:rFonts w:cs="Arial"/>
          <w:szCs w:val="22"/>
        </w:rPr>
        <w:t xml:space="preserve">definizione di accelerazione media e istantanea; definizione di moto rettilineo uniformemente accelerato; leggi orarie di velocità e posizione nel moto uniformemente accelerato (con dimostrazione “grafica” per legge su posizione); rappresentazione grafica sul piano x-t e v-t di un moto </w:t>
      </w:r>
      <w:proofErr w:type="spellStart"/>
      <w:r w:rsidRPr="00096C7C">
        <w:rPr>
          <w:rFonts w:cs="Arial"/>
          <w:szCs w:val="22"/>
        </w:rPr>
        <w:t>unif</w:t>
      </w:r>
      <w:proofErr w:type="spellEnd"/>
      <w:r w:rsidRPr="00096C7C">
        <w:rPr>
          <w:rFonts w:cs="Arial"/>
          <w:szCs w:val="22"/>
        </w:rPr>
        <w:t>. accelerato; cenni a moti uniformemente accelerati con accelerazione negativa</w:t>
      </w:r>
    </w:p>
    <w:p w:rsidR="00FB7145" w:rsidRDefault="00096C7C" w:rsidP="00096C7C">
      <w:pPr>
        <w:spacing w:after="120"/>
        <w:jc w:val="both"/>
        <w:rPr>
          <w:rFonts w:cs="Arial"/>
          <w:szCs w:val="22"/>
        </w:rPr>
      </w:pPr>
      <w:r w:rsidRPr="00096C7C">
        <w:rPr>
          <w:rFonts w:cs="Arial"/>
          <w:szCs w:val="22"/>
        </w:rPr>
        <w:t>accelerazione di gravità e caduta dei gravi; moto verticale di un grave come esempio di moto uniformemente accelerato</w:t>
      </w:r>
      <w:r w:rsidR="00FB7145">
        <w:rPr>
          <w:rFonts w:cs="Arial"/>
          <w:szCs w:val="22"/>
        </w:rPr>
        <w:t>.</w:t>
      </w:r>
    </w:p>
    <w:p w:rsidR="0007770F" w:rsidRDefault="0007770F" w:rsidP="0007770F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 xml:space="preserve">CINEMATICA </w:t>
      </w:r>
      <w:r>
        <w:rPr>
          <w:rFonts w:cs="Arial"/>
          <w:b/>
          <w:i/>
          <w:szCs w:val="22"/>
        </w:rPr>
        <w:t>BIDIMENSIONALE</w:t>
      </w:r>
      <w:r w:rsidRPr="00714BB3">
        <w:rPr>
          <w:rFonts w:cs="Arial"/>
          <w:szCs w:val="22"/>
        </w:rPr>
        <w:t xml:space="preserve">: </w:t>
      </w:r>
      <w:bookmarkStart w:id="0" w:name="_Hlk487997645"/>
      <w:r w:rsidRPr="0007770F">
        <w:rPr>
          <w:rFonts w:cs="Arial"/>
          <w:szCs w:val="22"/>
        </w:rPr>
        <w:t xml:space="preserve">scomposizione di un moto di caduta con </w:t>
      </w:r>
      <w:r w:rsidRPr="0007770F">
        <w:rPr>
          <w:rFonts w:cs="Arial"/>
          <w:szCs w:val="22"/>
        </w:rPr>
        <w:t>velocità</w:t>
      </w:r>
      <w:r w:rsidRPr="0007770F">
        <w:rPr>
          <w:rFonts w:cs="Arial"/>
          <w:szCs w:val="22"/>
        </w:rPr>
        <w:t xml:space="preserve"> iniziale orizzontale non nulla nei due moti orizzontale (uniforme) e verticale (uniformemente accelerato)</w:t>
      </w:r>
      <w:r>
        <w:rPr>
          <w:rFonts w:cs="Arial"/>
          <w:szCs w:val="22"/>
        </w:rPr>
        <w:t xml:space="preserve">; </w:t>
      </w:r>
      <w:r w:rsidRPr="0007770F">
        <w:rPr>
          <w:rFonts w:cs="Arial"/>
          <w:szCs w:val="22"/>
        </w:rPr>
        <w:t xml:space="preserve">studio del caso con </w:t>
      </w:r>
      <w:r w:rsidRPr="0007770F">
        <w:rPr>
          <w:rFonts w:cs="Arial"/>
          <w:szCs w:val="22"/>
        </w:rPr>
        <w:t>velocità</w:t>
      </w:r>
      <w:r w:rsidRPr="0007770F">
        <w:rPr>
          <w:rFonts w:cs="Arial"/>
          <w:szCs w:val="22"/>
        </w:rPr>
        <w:t xml:space="preserve"> verticale iniziale nulla</w:t>
      </w:r>
      <w:r>
        <w:rPr>
          <w:rFonts w:cs="Arial"/>
          <w:szCs w:val="22"/>
        </w:rPr>
        <w:t xml:space="preserve">; </w:t>
      </w:r>
      <w:r w:rsidRPr="0007770F">
        <w:rPr>
          <w:rFonts w:cs="Arial"/>
          <w:szCs w:val="22"/>
        </w:rPr>
        <w:t xml:space="preserve">studio del caso con </w:t>
      </w:r>
      <w:r w:rsidRPr="0007770F">
        <w:rPr>
          <w:rFonts w:cs="Arial"/>
          <w:szCs w:val="22"/>
        </w:rPr>
        <w:t>velocità</w:t>
      </w:r>
      <w:r w:rsidRPr="0007770F">
        <w:rPr>
          <w:rFonts w:cs="Arial"/>
          <w:szCs w:val="22"/>
        </w:rPr>
        <w:t xml:space="preserve"> iniziale qualsiasi; </w:t>
      </w:r>
      <w:r w:rsidRPr="0007770F">
        <w:rPr>
          <w:rFonts w:cs="Arial"/>
          <w:szCs w:val="22"/>
        </w:rPr>
        <w:lastRenderedPageBreak/>
        <w:t xml:space="preserve">caratteristiche della traiettoria: gittata e massima altezza (come punto a </w:t>
      </w:r>
      <w:r w:rsidRPr="0007770F">
        <w:rPr>
          <w:rFonts w:cs="Arial"/>
          <w:szCs w:val="22"/>
        </w:rPr>
        <w:t>velocità</w:t>
      </w:r>
      <w:r w:rsidRPr="0007770F">
        <w:rPr>
          <w:rFonts w:cs="Arial"/>
          <w:szCs w:val="22"/>
        </w:rPr>
        <w:t xml:space="preserve"> verticale nulla); caso generale (con partenza da punto ad altezza qualsiasi)</w:t>
      </w:r>
      <w:r>
        <w:rPr>
          <w:rFonts w:cs="Arial"/>
          <w:szCs w:val="22"/>
        </w:rPr>
        <w:t xml:space="preserve">; </w:t>
      </w:r>
      <w:r w:rsidRPr="0007770F">
        <w:rPr>
          <w:rFonts w:cs="Arial"/>
          <w:szCs w:val="22"/>
        </w:rPr>
        <w:t>descrizione di un moto con traiettoria circolare percorso con velocità in modulo costante; caratteristiche di un moto circolare uniforme; definizione di periodo; velocità tangenziale e accelerazione centripeta</w:t>
      </w:r>
      <w:r>
        <w:rPr>
          <w:rFonts w:cs="Arial"/>
          <w:szCs w:val="22"/>
        </w:rPr>
        <w:t>.</w:t>
      </w:r>
    </w:p>
    <w:p w:rsidR="0007770F" w:rsidRDefault="0007770F" w:rsidP="0007770F">
      <w:pPr>
        <w:jc w:val="both"/>
      </w:pPr>
      <w:r>
        <w:rPr>
          <w:rFonts w:cs="Arial"/>
          <w:b/>
          <w:i/>
          <w:szCs w:val="22"/>
        </w:rPr>
        <w:t>DINAMICA</w:t>
      </w:r>
      <w:r w:rsidR="00205390">
        <w:rPr>
          <w:rFonts w:cs="Arial"/>
          <w:szCs w:val="22"/>
        </w:rPr>
        <w:t xml:space="preserve">: </w:t>
      </w:r>
      <w:bookmarkEnd w:id="0"/>
      <w:r>
        <w:t>enunciati e significato dei tre principi della dinamica;</w:t>
      </w:r>
      <w:r>
        <w:t xml:space="preserve"> analisi, eventualmente connessa con studio cinematico, di situazioni in cui agiscono forze non in equilibrio tra loro; </w:t>
      </w:r>
      <w:r>
        <w:t>forza centripeta in un moto circolare</w:t>
      </w:r>
      <w:r>
        <w:t>.</w:t>
      </w:r>
    </w:p>
    <w:p w:rsidR="007530A4" w:rsidRPr="00A01186" w:rsidRDefault="007530A4" w:rsidP="00CE2987">
      <w:pPr>
        <w:spacing w:after="120"/>
        <w:jc w:val="both"/>
        <w:rPr>
          <w:rFonts w:cs="Arial"/>
          <w:b/>
        </w:rPr>
      </w:pPr>
    </w:p>
    <w:p w:rsidR="00D500A7" w:rsidRPr="000A43CF" w:rsidRDefault="000A43CF" w:rsidP="00FB7145">
      <w:pPr>
        <w:spacing w:after="120"/>
        <w:rPr>
          <w:rFonts w:cs="Arial"/>
          <w:sz w:val="24"/>
        </w:rPr>
      </w:pPr>
      <w:bookmarkStart w:id="1" w:name="_Hlk488048213"/>
      <w:bookmarkStart w:id="2" w:name="_GoBack"/>
      <w:r>
        <w:rPr>
          <w:rFonts w:cs="Arial"/>
          <w:sz w:val="24"/>
        </w:rPr>
        <w:t>[</w:t>
      </w:r>
      <w:r w:rsidR="00096C7C">
        <w:rPr>
          <w:rFonts w:cs="Arial"/>
          <w:sz w:val="24"/>
        </w:rPr>
        <w:t>INDIRIZZO MATEMATICO-SCIENTIFICO</w:t>
      </w:r>
      <w:r w:rsidR="0007770F">
        <w:rPr>
          <w:rFonts w:cs="Arial"/>
          <w:sz w:val="24"/>
        </w:rPr>
        <w:t>, in aggiunta al programma tradizionale</w:t>
      </w:r>
      <w:r>
        <w:rPr>
          <w:rFonts w:cs="Arial"/>
          <w:sz w:val="24"/>
        </w:rPr>
        <w:t>]</w:t>
      </w:r>
    </w:p>
    <w:bookmarkEnd w:id="1"/>
    <w:bookmarkEnd w:id="2"/>
    <w:p w:rsidR="00096C7C" w:rsidRDefault="00096C7C" w:rsidP="00096C7C">
      <w:pPr>
        <w:jc w:val="both"/>
        <w:rPr>
          <w:rFonts w:eastAsiaTheme="minorEastAsia"/>
        </w:rPr>
      </w:pPr>
      <w:r>
        <w:t>strumenti di misura e loro caratter</w:t>
      </w:r>
      <w:r>
        <w:t>istiche (sensibilità e portata);</w:t>
      </w:r>
      <w:r>
        <w:t xml:space="preserve"> misura come intervallo di v</w:t>
      </w:r>
      <w:r>
        <w:t>alori contenente il valore vero;</w:t>
      </w:r>
      <w:r>
        <w:t xml:space="preserve"> espressione dell’intervallo come </w:t>
      </w:r>
      <m:oMath>
        <m:r>
          <w:rPr>
            <w:rFonts w:ascii="Cambria Math" w:hAnsi="Cambria Math"/>
          </w:rPr>
          <m:t>M±e</m:t>
        </m:r>
      </m:oMath>
      <w:r>
        <w:rPr>
          <w:rFonts w:eastAsiaTheme="minorEastAsia"/>
        </w:rPr>
        <w:t>;</w:t>
      </w:r>
      <w:r>
        <w:rPr>
          <w:rFonts w:eastAsiaTheme="minorEastAsia"/>
        </w:rPr>
        <w:t xml:space="preserve"> infuenza dell’errore nella determinazione delle cifre significative di una misura; determinazione di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eastAsiaTheme="minorEastAsia"/>
        </w:rPr>
        <w:t xml:space="preserve"> e </w:t>
      </w:r>
      <m:oMath>
        <m:r>
          <w:rPr>
            <w:rFonts w:ascii="Cambria Math" w:eastAsiaTheme="minorEastAsia" w:hAnsi="Cambria Math"/>
          </w:rPr>
          <m:t>e</m:t>
        </m:r>
      </m:oMath>
      <w:r>
        <w:rPr>
          <w:rFonts w:eastAsiaTheme="minorEastAsia"/>
        </w:rPr>
        <w:t xml:space="preserve"> con misure ripetute (me</w:t>
      </w:r>
      <w:r>
        <w:rPr>
          <w:rFonts w:eastAsiaTheme="minorEastAsia"/>
        </w:rPr>
        <w:t>dia e semidispersione dei dati);</w:t>
      </w:r>
    </w:p>
    <w:p w:rsidR="00096C7C" w:rsidRDefault="00096C7C" w:rsidP="00096C7C">
      <w:pPr>
        <w:jc w:val="both"/>
      </w:pPr>
      <w:r>
        <w:t>formule di propagazione dell’errore (caso misure indirette); uso dei grafici per la determinazione di una legge fisica, esempi di dipendenze funzionali tra grandezze</w:t>
      </w:r>
      <w:r>
        <w:t>;</w:t>
      </w:r>
    </w:p>
    <w:p w:rsidR="00096C7C" w:rsidRDefault="0007770F" w:rsidP="00096C7C">
      <w:pPr>
        <w:jc w:val="both"/>
      </w:pPr>
      <w:r w:rsidRPr="0007770F">
        <w:t>definizione di momento di una forza rispetto a un punto (che sia vincolo di rotazione o meno); equilibrio di un corpo rigido; equilibrio e baricentro; leve</w:t>
      </w:r>
      <w:r>
        <w:t>;</w:t>
      </w:r>
    </w:p>
    <w:p w:rsidR="0007770F" w:rsidRPr="00691E5E" w:rsidRDefault="0007770F" w:rsidP="00096C7C">
      <w:pPr>
        <w:jc w:val="both"/>
      </w:pPr>
      <w:r>
        <w:t>sistemi di riferimento inerziali; sistemi di riferimento non inerziali e comparsa di forze apparenti; modellizzazione delle forze di trascinamento in sistemi non inerziali con accelerazione costante; forza apparente centrifuga</w:t>
      </w:r>
      <w:r>
        <w:t>.</w:t>
      </w:r>
    </w:p>
    <w:p w:rsidR="00722FC6" w:rsidRDefault="00722FC6" w:rsidP="00CE2987">
      <w:pPr>
        <w:spacing w:after="120"/>
        <w:jc w:val="both"/>
        <w:rPr>
          <w:rFonts w:cs="Arial"/>
        </w:rPr>
      </w:pPr>
    </w:p>
    <w:p w:rsidR="006736D6" w:rsidRPr="00A01186" w:rsidRDefault="006736D6" w:rsidP="00CE2987">
      <w:pPr>
        <w:spacing w:after="120"/>
        <w:jc w:val="both"/>
        <w:rPr>
          <w:rFonts w:cs="Arial"/>
        </w:rPr>
      </w:pPr>
    </w:p>
    <w:p w:rsidR="00544899" w:rsidRDefault="00544899" w:rsidP="00544899"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184185E3" wp14:editId="24BA1694">
            <wp:simplePos x="0" y="0"/>
            <wp:positionH relativeFrom="column">
              <wp:posOffset>4153535</wp:posOffset>
            </wp:positionH>
            <wp:positionV relativeFrom="paragraph">
              <wp:posOffset>398145</wp:posOffset>
            </wp:positionV>
            <wp:extent cx="1478915" cy="64643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899" w:rsidRPr="00A01186" w:rsidRDefault="00544899" w:rsidP="00544899">
      <w:pPr>
        <w:spacing w:after="120"/>
        <w:ind w:left="6372" w:firstLine="708"/>
        <w:jc w:val="both"/>
        <w:rPr>
          <w:rFonts w:cs="Arial"/>
          <w:smallCaps/>
        </w:rPr>
      </w:pPr>
      <w:r w:rsidRPr="00A01186">
        <w:rPr>
          <w:rFonts w:cs="Arial"/>
          <w:smallCaps/>
        </w:rPr>
        <w:t>Il Docente</w:t>
      </w:r>
    </w:p>
    <w:p w:rsidR="00544899" w:rsidRPr="00A01186" w:rsidRDefault="00544899" w:rsidP="00544899">
      <w:pPr>
        <w:spacing w:after="120"/>
        <w:jc w:val="both"/>
        <w:rPr>
          <w:rFonts w:cs="Arial"/>
        </w:rPr>
      </w:pPr>
    </w:p>
    <w:p w:rsidR="00544899" w:rsidRPr="00A01186" w:rsidRDefault="00544899" w:rsidP="00544899">
      <w:pPr>
        <w:spacing w:after="120"/>
        <w:jc w:val="both"/>
        <w:rPr>
          <w:rFonts w:cs="Arial"/>
        </w:rPr>
      </w:pPr>
    </w:p>
    <w:p w:rsidR="00544899" w:rsidRDefault="00544899" w:rsidP="00544899">
      <w:pPr>
        <w:spacing w:after="120"/>
        <w:ind w:left="5664"/>
        <w:jc w:val="both"/>
        <w:rPr>
          <w:smallCaps/>
        </w:rPr>
      </w:pPr>
      <w:r w:rsidRPr="00D26AEA">
        <w:rPr>
          <w:smallCaps/>
        </w:rPr>
        <w:t xml:space="preserve">      </w:t>
      </w:r>
    </w:p>
    <w:p w:rsidR="00544899" w:rsidRPr="00D26AEA" w:rsidRDefault="00544899" w:rsidP="00544899">
      <w:pPr>
        <w:spacing w:after="120"/>
        <w:ind w:left="5664"/>
        <w:jc w:val="both"/>
        <w:rPr>
          <w:smallCaps/>
        </w:rPr>
      </w:pPr>
      <w:r w:rsidRPr="00D26AEA">
        <w:rPr>
          <w:smallCaps/>
        </w:rPr>
        <w:t xml:space="preserve">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D206E8" w:rsidRPr="00D206E8" w:rsidRDefault="00D206E8" w:rsidP="00CE2987">
      <w:pPr>
        <w:spacing w:after="120"/>
        <w:jc w:val="both"/>
      </w:pPr>
    </w:p>
    <w:sectPr w:rsidR="00D206E8" w:rsidRPr="00D206E8" w:rsidSect="00134CAE">
      <w:headerReference w:type="default" r:id="rId8"/>
      <w:footerReference w:type="default" r:id="rId9"/>
      <w:type w:val="continuous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8FE" w:rsidRDefault="000658FE">
      <w:r>
        <w:separator/>
      </w:r>
    </w:p>
  </w:endnote>
  <w:endnote w:type="continuationSeparator" w:id="0">
    <w:p w:rsidR="000658FE" w:rsidRDefault="0006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8FE" w:rsidRDefault="000658FE">
      <w:r>
        <w:separator/>
      </w:r>
    </w:p>
  </w:footnote>
  <w:footnote w:type="continuationSeparator" w:id="0">
    <w:p w:rsidR="000658FE" w:rsidRDefault="00065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803D01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6736D6" w:rsidRPr="006D51B4" w:rsidRDefault="006736D6" w:rsidP="00274004">
    <w:pPr>
      <w:spacing w:before="60"/>
      <w:jc w:val="center"/>
      <w:rPr>
        <w:spacing w:val="100"/>
        <w:szCs w:val="22"/>
      </w:rPr>
    </w:pP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658FE"/>
    <w:rsid w:val="0007770F"/>
    <w:rsid w:val="00096C7C"/>
    <w:rsid w:val="000A43CF"/>
    <w:rsid w:val="000F4BFE"/>
    <w:rsid w:val="00116CBB"/>
    <w:rsid w:val="001229C9"/>
    <w:rsid w:val="00134CAE"/>
    <w:rsid w:val="001836BF"/>
    <w:rsid w:val="001A07E3"/>
    <w:rsid w:val="001B3B56"/>
    <w:rsid w:val="001B7608"/>
    <w:rsid w:val="001D1CE7"/>
    <w:rsid w:val="001F5DA4"/>
    <w:rsid w:val="00205390"/>
    <w:rsid w:val="00205CD1"/>
    <w:rsid w:val="00217D8E"/>
    <w:rsid w:val="00225F0E"/>
    <w:rsid w:val="00227202"/>
    <w:rsid w:val="002548B1"/>
    <w:rsid w:val="00255E8C"/>
    <w:rsid w:val="00274004"/>
    <w:rsid w:val="002A599D"/>
    <w:rsid w:val="00303665"/>
    <w:rsid w:val="00335B01"/>
    <w:rsid w:val="003C4A0D"/>
    <w:rsid w:val="003E0724"/>
    <w:rsid w:val="003E608B"/>
    <w:rsid w:val="0041276B"/>
    <w:rsid w:val="00444930"/>
    <w:rsid w:val="00450B91"/>
    <w:rsid w:val="004951F7"/>
    <w:rsid w:val="004B43E9"/>
    <w:rsid w:val="004C1937"/>
    <w:rsid w:val="004D6D64"/>
    <w:rsid w:val="004E5DF4"/>
    <w:rsid w:val="00506943"/>
    <w:rsid w:val="0050749D"/>
    <w:rsid w:val="00544899"/>
    <w:rsid w:val="00554F1E"/>
    <w:rsid w:val="00555DC9"/>
    <w:rsid w:val="00634E4A"/>
    <w:rsid w:val="006455E4"/>
    <w:rsid w:val="006664C7"/>
    <w:rsid w:val="006736D6"/>
    <w:rsid w:val="00686095"/>
    <w:rsid w:val="006D51B4"/>
    <w:rsid w:val="006F6763"/>
    <w:rsid w:val="00704A3E"/>
    <w:rsid w:val="007200FC"/>
    <w:rsid w:val="00722FC6"/>
    <w:rsid w:val="00752358"/>
    <w:rsid w:val="007530A4"/>
    <w:rsid w:val="007B5A2D"/>
    <w:rsid w:val="007D2E50"/>
    <w:rsid w:val="007F1961"/>
    <w:rsid w:val="00803D01"/>
    <w:rsid w:val="008072D6"/>
    <w:rsid w:val="00811B3F"/>
    <w:rsid w:val="0086243A"/>
    <w:rsid w:val="00862C83"/>
    <w:rsid w:val="00871777"/>
    <w:rsid w:val="00892E6D"/>
    <w:rsid w:val="008A21F4"/>
    <w:rsid w:val="008A3ACA"/>
    <w:rsid w:val="008B67BA"/>
    <w:rsid w:val="008D11AE"/>
    <w:rsid w:val="008F582A"/>
    <w:rsid w:val="009309D7"/>
    <w:rsid w:val="00991B69"/>
    <w:rsid w:val="009B0EE5"/>
    <w:rsid w:val="009B20BC"/>
    <w:rsid w:val="009D710C"/>
    <w:rsid w:val="009F55BB"/>
    <w:rsid w:val="00A01186"/>
    <w:rsid w:val="00A43338"/>
    <w:rsid w:val="00A83F1F"/>
    <w:rsid w:val="00AE7255"/>
    <w:rsid w:val="00B4089E"/>
    <w:rsid w:val="00B44913"/>
    <w:rsid w:val="00B6151F"/>
    <w:rsid w:val="00B64B18"/>
    <w:rsid w:val="00B90CEF"/>
    <w:rsid w:val="00BD0520"/>
    <w:rsid w:val="00CB0124"/>
    <w:rsid w:val="00CD7852"/>
    <w:rsid w:val="00CE2987"/>
    <w:rsid w:val="00D005AB"/>
    <w:rsid w:val="00D04F7D"/>
    <w:rsid w:val="00D206E8"/>
    <w:rsid w:val="00D500A7"/>
    <w:rsid w:val="00D70167"/>
    <w:rsid w:val="00E05078"/>
    <w:rsid w:val="00E420D1"/>
    <w:rsid w:val="00EE39AC"/>
    <w:rsid w:val="00EF0152"/>
    <w:rsid w:val="00EF5632"/>
    <w:rsid w:val="00F31531"/>
    <w:rsid w:val="00FA5172"/>
    <w:rsid w:val="00FB7145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F03A1D"/>
  <w15:chartTrackingRefBased/>
  <w15:docId w15:val="{7D5CD666-DED5-4B54-81F0-EE80699C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803D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andrea cravotta</cp:lastModifiedBy>
  <cp:revision>5</cp:revision>
  <cp:lastPrinted>2008-10-15T09:22:00Z</cp:lastPrinted>
  <dcterms:created xsi:type="dcterms:W3CDTF">2017-07-17T07:01:00Z</dcterms:created>
  <dcterms:modified xsi:type="dcterms:W3CDTF">2017-07-17T07:48:00Z</dcterms:modified>
</cp:coreProperties>
</file>