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317" w:rsidRDefault="004A3317" w:rsidP="004A33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Programma di italiano</w:t>
      </w:r>
      <w:r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"/>
      </w:r>
      <w:r w:rsidR="00152CB8">
        <w:rPr>
          <w:rFonts w:ascii="Times New Roman" w:hAnsi="Times New Roman" w:cs="Times New Roman"/>
          <w:sz w:val="24"/>
          <w:szCs w:val="24"/>
        </w:rPr>
        <w:t xml:space="preserve"> della classe III A</w:t>
      </w:r>
      <w:r>
        <w:rPr>
          <w:rFonts w:ascii="Times New Roman" w:hAnsi="Times New Roman" w:cs="Times New Roman"/>
          <w:sz w:val="24"/>
          <w:szCs w:val="24"/>
        </w:rPr>
        <w:t>M</w:t>
      </w:r>
      <w:r w:rsidR="00152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2CB8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="00152CB8">
        <w:rPr>
          <w:rFonts w:ascii="Times New Roman" w:hAnsi="Times New Roman" w:cs="Times New Roman"/>
          <w:sz w:val="24"/>
          <w:szCs w:val="24"/>
        </w:rPr>
        <w:t xml:space="preserve"> 2016/2017</w:t>
      </w:r>
    </w:p>
    <w:p w:rsidR="004A3317" w:rsidRDefault="004A3317" w:rsidP="004A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3317" w:rsidRDefault="004A3317" w:rsidP="004A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3317" w:rsidRDefault="004A3317" w:rsidP="004A331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Vol. A. Il medioevo, pp. 2 – 19; l’età cortese, pp. 22 – 27; le forme della letteratura nell’età cortese, pp. 42 – 66; l’età comunale in Italia, pp. 76 – 92; Francesco d’Assisi, pp. 100 – 105; Jacopone da Todi, pp. 107 – 114; forme della prosa nel duecento (il Novellino, Franco Sacchetti, Marco Polo), pp. 129 – 148; le cronache, Dino Compagni, pp. 154 – 155; la lirica nel duecento in Italia, pp. 159 – 160; il “dolce </w:t>
      </w:r>
      <w:proofErr w:type="spellStart"/>
      <w:r>
        <w:rPr>
          <w:rFonts w:ascii="Times New Roman" w:hAnsi="Times New Roman" w:cs="Times New Roman"/>
          <w:sz w:val="24"/>
          <w:szCs w:val="24"/>
        </w:rPr>
        <w:t>stil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novo”, Guido </w:t>
      </w:r>
      <w:proofErr w:type="spellStart"/>
      <w:r>
        <w:rPr>
          <w:rFonts w:ascii="Times New Roman" w:hAnsi="Times New Roman" w:cs="Times New Roman"/>
          <w:sz w:val="24"/>
          <w:szCs w:val="24"/>
        </w:rPr>
        <w:t>Guinizzelli</w:t>
      </w:r>
      <w:proofErr w:type="spellEnd"/>
      <w:r>
        <w:rPr>
          <w:rFonts w:ascii="Times New Roman" w:hAnsi="Times New Roman" w:cs="Times New Roman"/>
          <w:sz w:val="24"/>
          <w:szCs w:val="24"/>
        </w:rPr>
        <w:t>,  pp. 166 – 171; Dante Alighieri, vita e opere, dalla Vita nova ai trattati, pp. 232 – 23</w:t>
      </w:r>
      <w:r w:rsidR="00152CB8">
        <w:rPr>
          <w:rFonts w:ascii="Times New Roman" w:hAnsi="Times New Roman" w:cs="Times New Roman"/>
          <w:sz w:val="24"/>
          <w:szCs w:val="24"/>
        </w:rPr>
        <w:t>6; pp. 241 – 242; pp. 246 – 249; Francesco Petrarca, pp. 314 – 4012; Giovanni Boccaccio, pp. 406 – 528;</w:t>
      </w:r>
      <w:bookmarkStart w:id="0" w:name="_GoBack"/>
      <w:bookmarkEnd w:id="0"/>
    </w:p>
    <w:p w:rsidR="004A3317" w:rsidRDefault="004A3317" w:rsidP="004A331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Vol. B. L’età umanistica, pp. 4 – 24; edonismo e idillio nella cultura umanistica, pp. 54 – 62; il poema epico cavalleresco, pp. 81 – 91; l’età del rinascimento, pp. 112 – 133; Ludovico Ariosto, pp. 244 – 345.</w:t>
      </w:r>
    </w:p>
    <w:p w:rsidR="004A3317" w:rsidRDefault="004A3317" w:rsidP="004A331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A3317" w:rsidRPr="00AA04BC" w:rsidRDefault="004A3317" w:rsidP="004A331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Dante Alighieri, la divina commedia, canti integrali, I, V, VI, X, XIII, XV, XXVI, XXXIII.</w:t>
      </w: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Default="004A3317" w:rsidP="004A3317">
      <w:pPr>
        <w:jc w:val="center"/>
      </w:pPr>
    </w:p>
    <w:p w:rsidR="004A3317" w:rsidRPr="0012370F" w:rsidRDefault="004A3317" w:rsidP="004A33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rappresentanti di classe                                                                                L’insegnante</w:t>
      </w:r>
    </w:p>
    <w:p w:rsidR="003B1361" w:rsidRDefault="003B1361"/>
    <w:sectPr w:rsidR="003B13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558" w:rsidRDefault="00E67558" w:rsidP="004A3317">
      <w:pPr>
        <w:spacing w:line="240" w:lineRule="auto"/>
      </w:pPr>
      <w:r>
        <w:separator/>
      </w:r>
    </w:p>
  </w:endnote>
  <w:endnote w:type="continuationSeparator" w:id="0">
    <w:p w:rsidR="00E67558" w:rsidRDefault="00E67558" w:rsidP="004A33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558" w:rsidRDefault="00E67558" w:rsidP="004A3317">
      <w:pPr>
        <w:spacing w:line="240" w:lineRule="auto"/>
      </w:pPr>
      <w:r>
        <w:separator/>
      </w:r>
    </w:p>
  </w:footnote>
  <w:footnote w:type="continuationSeparator" w:id="0">
    <w:p w:rsidR="00E67558" w:rsidRDefault="00E67558" w:rsidP="004A3317">
      <w:pPr>
        <w:spacing w:line="240" w:lineRule="auto"/>
      </w:pPr>
      <w:r>
        <w:continuationSeparator/>
      </w:r>
    </w:p>
  </w:footnote>
  <w:footnote w:id="1">
    <w:p w:rsidR="004A3317" w:rsidRDefault="004A3317" w:rsidP="004A3317">
      <w:pPr>
        <w:pStyle w:val="Testonotaapidipagina"/>
      </w:pPr>
      <w:r>
        <w:rPr>
          <w:rStyle w:val="Rimandonotaapidipagina"/>
        </w:rPr>
        <w:footnoteRef/>
      </w:r>
      <w:r>
        <w:t xml:space="preserve"> AA.VV., testi e storia della </w:t>
      </w:r>
      <w:proofErr w:type="spellStart"/>
      <w:r>
        <w:t>letteratira</w:t>
      </w:r>
      <w:proofErr w:type="spellEnd"/>
      <w:r>
        <w:t xml:space="preserve">, </w:t>
      </w:r>
      <w:proofErr w:type="spellStart"/>
      <w:r>
        <w:t>paravia</w:t>
      </w:r>
      <w:proofErr w:type="spellEnd"/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317"/>
    <w:rsid w:val="00152CB8"/>
    <w:rsid w:val="003B1361"/>
    <w:rsid w:val="004A3317"/>
    <w:rsid w:val="00513B2C"/>
    <w:rsid w:val="005B4046"/>
    <w:rsid w:val="00DD71EC"/>
    <w:rsid w:val="00E67558"/>
    <w:rsid w:val="00F15DB4"/>
    <w:rsid w:val="00F8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33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A3317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A331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A331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33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A3317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A331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A33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 poncina</dc:creator>
  <cp:lastModifiedBy>max poncina</cp:lastModifiedBy>
  <cp:revision>4</cp:revision>
  <dcterms:created xsi:type="dcterms:W3CDTF">2016-06-03T17:55:00Z</dcterms:created>
  <dcterms:modified xsi:type="dcterms:W3CDTF">2017-06-13T07:37:00Z</dcterms:modified>
</cp:coreProperties>
</file>